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17" w:rsidRPr="001D23CF" w:rsidRDefault="009B7B17" w:rsidP="009B7B17">
      <w:pPr>
        <w:tabs>
          <w:tab w:val="num" w:pos="720"/>
        </w:tabs>
        <w:ind w:left="360"/>
        <w:jc w:val="center"/>
        <w:rPr>
          <w:rFonts w:ascii="Arial" w:hAnsi="Arial" w:cs="Arial"/>
          <w:b/>
          <w:bCs/>
          <w:sz w:val="36"/>
          <w:szCs w:val="36"/>
        </w:rPr>
      </w:pPr>
      <w:r w:rsidRPr="001D23CF">
        <w:rPr>
          <w:rFonts w:ascii="Arial" w:hAnsi="Arial" w:cs="Arial"/>
          <w:b/>
          <w:bCs/>
          <w:sz w:val="96"/>
          <w:szCs w:val="96"/>
        </w:rPr>
        <w:t>Réunion publique d’information</w:t>
      </w:r>
    </w:p>
    <w:p w:rsidR="009B7B17" w:rsidRPr="001D23CF" w:rsidRDefault="00B70340" w:rsidP="009B7B17">
      <w:pPr>
        <w:tabs>
          <w:tab w:val="num" w:pos="720"/>
        </w:tabs>
        <w:ind w:left="360"/>
        <w:jc w:val="center"/>
        <w:rPr>
          <w:rFonts w:ascii="Arial" w:hAnsi="Arial" w:cs="Arial"/>
          <w:b/>
          <w:bCs/>
          <w:sz w:val="72"/>
          <w:szCs w:val="72"/>
        </w:rPr>
      </w:pPr>
      <w:proofErr w:type="gramStart"/>
      <w:r>
        <w:rPr>
          <w:rFonts w:ascii="Arial" w:hAnsi="Arial" w:cs="Arial"/>
          <w:b/>
          <w:bCs/>
          <w:sz w:val="72"/>
          <w:szCs w:val="72"/>
        </w:rPr>
        <w:t>sur</w:t>
      </w:r>
      <w:proofErr w:type="gramEnd"/>
      <w:r>
        <w:rPr>
          <w:rFonts w:ascii="Arial" w:hAnsi="Arial" w:cs="Arial"/>
          <w:b/>
          <w:bCs/>
          <w:sz w:val="72"/>
          <w:szCs w:val="72"/>
        </w:rPr>
        <w:t xml:space="preserve"> </w:t>
      </w:r>
    </w:p>
    <w:p w:rsidR="009B7B17" w:rsidRPr="001D23CF" w:rsidRDefault="009B7B17" w:rsidP="009B7B17">
      <w:pPr>
        <w:tabs>
          <w:tab w:val="num" w:pos="720"/>
        </w:tabs>
        <w:ind w:left="360"/>
        <w:jc w:val="center"/>
        <w:rPr>
          <w:rFonts w:ascii="Arial" w:hAnsi="Arial" w:cs="Arial"/>
          <w:b/>
          <w:bCs/>
          <w:sz w:val="16"/>
          <w:szCs w:val="16"/>
        </w:rPr>
      </w:pPr>
    </w:p>
    <w:p w:rsidR="00BD1EE0" w:rsidRPr="00B70340" w:rsidRDefault="00B70340" w:rsidP="00B70340">
      <w:pPr>
        <w:tabs>
          <w:tab w:val="num" w:pos="720"/>
        </w:tabs>
        <w:ind w:left="360"/>
        <w:jc w:val="center"/>
        <w:rPr>
          <w:rFonts w:ascii="Arial" w:hAnsi="Arial" w:cs="Arial"/>
          <w:b/>
          <w:bCs/>
          <w:sz w:val="110"/>
          <w:szCs w:val="110"/>
        </w:rPr>
      </w:pPr>
      <w:proofErr w:type="gramStart"/>
      <w:r w:rsidRPr="00B70340">
        <w:rPr>
          <w:rFonts w:ascii="Arial" w:hAnsi="Arial" w:cs="Arial"/>
          <w:b/>
          <w:bCs/>
          <w:sz w:val="110"/>
          <w:szCs w:val="110"/>
        </w:rPr>
        <w:t>l’Accord</w:t>
      </w:r>
      <w:proofErr w:type="gramEnd"/>
      <w:r w:rsidRPr="00B70340">
        <w:rPr>
          <w:rFonts w:ascii="Arial" w:hAnsi="Arial" w:cs="Arial"/>
          <w:b/>
          <w:bCs/>
          <w:sz w:val="110"/>
          <w:szCs w:val="110"/>
        </w:rPr>
        <w:t xml:space="preserve"> sur la « sécurisation de l’emploi » (ANI)</w:t>
      </w:r>
    </w:p>
    <w:p w:rsidR="008E592C" w:rsidRDefault="00B70340" w:rsidP="008E592C">
      <w:pPr>
        <w:tabs>
          <w:tab w:val="num" w:pos="720"/>
        </w:tabs>
        <w:ind w:left="360"/>
        <w:jc w:val="center"/>
        <w:rPr>
          <w:rFonts w:ascii="Arial" w:hAnsi="Arial" w:cs="Arial"/>
          <w:b/>
          <w:bCs/>
          <w:sz w:val="72"/>
          <w:szCs w:val="72"/>
        </w:rPr>
      </w:pPr>
      <w:proofErr w:type="gramStart"/>
      <w:r>
        <w:rPr>
          <w:rFonts w:ascii="Arial" w:hAnsi="Arial" w:cs="Arial"/>
          <w:b/>
          <w:bCs/>
          <w:sz w:val="72"/>
          <w:szCs w:val="72"/>
        </w:rPr>
        <w:t>mercredi</w:t>
      </w:r>
      <w:proofErr w:type="gramEnd"/>
      <w:r>
        <w:rPr>
          <w:rFonts w:ascii="Arial" w:hAnsi="Arial" w:cs="Arial"/>
          <w:b/>
          <w:bCs/>
          <w:sz w:val="72"/>
          <w:szCs w:val="72"/>
        </w:rPr>
        <w:t xml:space="preserve"> 3 avril</w:t>
      </w:r>
      <w:r w:rsidR="008E592C">
        <w:rPr>
          <w:rFonts w:ascii="Arial" w:hAnsi="Arial" w:cs="Arial"/>
          <w:b/>
          <w:bCs/>
          <w:sz w:val="72"/>
          <w:szCs w:val="72"/>
        </w:rPr>
        <w:t xml:space="preserve"> </w:t>
      </w:r>
      <w:r w:rsidR="008E592C" w:rsidRPr="008E592C">
        <w:rPr>
          <w:rFonts w:ascii="Arial" w:hAnsi="Arial" w:cs="Arial"/>
          <w:b/>
          <w:bCs/>
          <w:sz w:val="48"/>
          <w:szCs w:val="48"/>
        </w:rPr>
        <w:t>20h</w:t>
      </w:r>
    </w:p>
    <w:p w:rsidR="009B7B17" w:rsidRPr="008E592C" w:rsidRDefault="00796B8A" w:rsidP="008E592C">
      <w:pPr>
        <w:tabs>
          <w:tab w:val="num" w:pos="720"/>
        </w:tabs>
        <w:ind w:left="360"/>
        <w:rPr>
          <w:rFonts w:ascii="Arial" w:hAnsi="Arial" w:cs="Arial"/>
          <w:b/>
          <w:bCs/>
          <w:sz w:val="28"/>
          <w:szCs w:val="28"/>
        </w:rPr>
      </w:pPr>
      <w:r>
        <w:rPr>
          <w:rFonts w:ascii="Arial" w:hAnsi="Arial" w:cs="Arial"/>
          <w:b/>
          <w:bCs/>
          <w:noProof/>
          <w:sz w:val="40"/>
          <w:szCs w:val="40"/>
        </w:rPr>
        <w:drawing>
          <wp:anchor distT="0" distB="0" distL="114300" distR="114300" simplePos="0" relativeHeight="251660288" behindDoc="0" locked="0" layoutInCell="1" allowOverlap="1">
            <wp:simplePos x="0" y="0"/>
            <wp:positionH relativeFrom="column">
              <wp:posOffset>2917825</wp:posOffset>
            </wp:positionH>
            <wp:positionV relativeFrom="paragraph">
              <wp:posOffset>161290</wp:posOffset>
            </wp:positionV>
            <wp:extent cx="3705225" cy="2667000"/>
            <wp:effectExtent l="19050" t="0" r="9525" b="0"/>
            <wp:wrapSquare wrapText="bothSides"/>
            <wp:docPr id="3" name="il_fi" descr="http://npa2009.org/sites/default/files/images/rouge-1-ANI802.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pa2009.org/sites/default/files/images/rouge-1-ANI802.preview.jpg"/>
                    <pic:cNvPicPr>
                      <a:picLocks noChangeAspect="1" noChangeArrowheads="1"/>
                    </pic:cNvPicPr>
                  </pic:nvPicPr>
                  <pic:blipFill>
                    <a:blip r:embed="rId6"/>
                    <a:srcRect/>
                    <a:stretch>
                      <a:fillRect/>
                    </a:stretch>
                  </pic:blipFill>
                  <pic:spPr bwMode="auto">
                    <a:xfrm>
                      <a:off x="0" y="0"/>
                      <a:ext cx="3705225" cy="2667000"/>
                    </a:xfrm>
                    <a:prstGeom prst="rect">
                      <a:avLst/>
                    </a:prstGeom>
                    <a:noFill/>
                    <a:ln w="9525">
                      <a:noFill/>
                      <a:miter lim="800000"/>
                      <a:headEnd/>
                      <a:tailEnd/>
                    </a:ln>
                  </pic:spPr>
                </pic:pic>
              </a:graphicData>
            </a:graphic>
          </wp:anchor>
        </w:drawing>
      </w:r>
    </w:p>
    <w:p w:rsidR="009B7B17" w:rsidRPr="00F76DA4" w:rsidRDefault="009B7B17" w:rsidP="009B7B17">
      <w:pPr>
        <w:tabs>
          <w:tab w:val="num" w:pos="720"/>
        </w:tabs>
        <w:ind w:left="360"/>
        <w:jc w:val="center"/>
        <w:rPr>
          <w:rFonts w:ascii="Arial" w:hAnsi="Arial" w:cs="Arial"/>
          <w:b/>
          <w:bCs/>
          <w:sz w:val="44"/>
          <w:szCs w:val="44"/>
        </w:rPr>
      </w:pPr>
      <w:r w:rsidRPr="00F76DA4">
        <w:rPr>
          <w:rFonts w:ascii="Arial" w:hAnsi="Arial" w:cs="Arial"/>
          <w:b/>
          <w:bCs/>
          <w:sz w:val="44"/>
          <w:szCs w:val="44"/>
        </w:rPr>
        <w:t>Centre culturel Léo Lagrange</w:t>
      </w:r>
    </w:p>
    <w:p w:rsidR="009B7B17" w:rsidRPr="00B311CB" w:rsidRDefault="009B7B17" w:rsidP="009B7B17">
      <w:pPr>
        <w:tabs>
          <w:tab w:val="num" w:pos="720"/>
        </w:tabs>
        <w:ind w:left="360"/>
        <w:jc w:val="center"/>
        <w:rPr>
          <w:rFonts w:ascii="Arial" w:hAnsi="Arial" w:cs="Arial"/>
          <w:b/>
          <w:bCs/>
          <w:sz w:val="40"/>
          <w:szCs w:val="40"/>
        </w:rPr>
      </w:pPr>
      <w:r w:rsidRPr="00B311CB">
        <w:rPr>
          <w:rFonts w:ascii="Arial" w:hAnsi="Arial" w:cs="Arial"/>
          <w:b/>
          <w:bCs/>
          <w:sz w:val="40"/>
          <w:szCs w:val="40"/>
        </w:rPr>
        <w:t>Bagnols sur Cèze</w:t>
      </w:r>
    </w:p>
    <w:p w:rsidR="002F7F0F" w:rsidRPr="001D23CF" w:rsidRDefault="001D23CF" w:rsidP="001D23CF">
      <w:pPr>
        <w:autoSpaceDE w:val="0"/>
        <w:autoSpaceDN w:val="0"/>
        <w:adjustRightInd w:val="0"/>
        <w:jc w:val="center"/>
        <w:rPr>
          <w:rFonts w:ascii="Arial" w:eastAsiaTheme="minorHAnsi" w:hAnsi="Arial" w:cs="Arial"/>
          <w:color w:val="000000"/>
          <w:sz w:val="44"/>
          <w:szCs w:val="44"/>
          <w:lang w:eastAsia="en-US"/>
        </w:rPr>
      </w:pPr>
      <w:r w:rsidRPr="001D23CF">
        <w:rPr>
          <w:rFonts w:ascii="Arial" w:eastAsiaTheme="minorHAnsi" w:hAnsi="Arial" w:cs="Arial"/>
          <w:color w:val="000000"/>
          <w:sz w:val="44"/>
          <w:szCs w:val="44"/>
          <w:lang w:eastAsia="en-US"/>
        </w:rPr>
        <w:t>Av</w:t>
      </w:r>
      <w:r w:rsidR="00B70340">
        <w:rPr>
          <w:rFonts w:ascii="Arial" w:eastAsiaTheme="minorHAnsi" w:hAnsi="Arial" w:cs="Arial"/>
          <w:color w:val="000000"/>
          <w:sz w:val="44"/>
          <w:szCs w:val="44"/>
          <w:lang w:eastAsia="en-US"/>
        </w:rPr>
        <w:t>ec les syndicats signataires et non signataires</w:t>
      </w:r>
    </w:p>
    <w:p w:rsidR="008E592C" w:rsidRDefault="008E592C" w:rsidP="002F7F0F">
      <w:pPr>
        <w:autoSpaceDE w:val="0"/>
        <w:autoSpaceDN w:val="0"/>
        <w:adjustRightInd w:val="0"/>
        <w:rPr>
          <w:rFonts w:ascii="Arial" w:eastAsiaTheme="minorHAnsi" w:hAnsi="Arial" w:cs="Arial"/>
          <w:color w:val="000000"/>
          <w:sz w:val="28"/>
          <w:szCs w:val="28"/>
          <w:lang w:eastAsia="en-US"/>
        </w:rPr>
      </w:pPr>
    </w:p>
    <w:p w:rsidR="001D23CF" w:rsidRPr="00796B8A" w:rsidRDefault="00796B8A" w:rsidP="002F7F0F">
      <w:pPr>
        <w:autoSpaceDE w:val="0"/>
        <w:autoSpaceDN w:val="0"/>
        <w:adjustRightInd w:val="0"/>
        <w:rPr>
          <w:rFonts w:ascii="Arial" w:eastAsiaTheme="minorHAnsi" w:hAnsi="Arial" w:cs="Arial"/>
          <w:color w:val="000000"/>
          <w:sz w:val="28"/>
          <w:szCs w:val="28"/>
          <w:lang w:eastAsia="en-US"/>
        </w:rPr>
      </w:pPr>
      <w:r w:rsidRPr="00796B8A">
        <w:rPr>
          <w:rFonts w:ascii="Arial" w:eastAsiaTheme="minorHAnsi" w:hAnsi="Arial" w:cs="Arial"/>
          <w:color w:val="000000"/>
          <w:sz w:val="28"/>
          <w:szCs w:val="28"/>
          <w:lang w:eastAsia="en-US"/>
        </w:rPr>
        <w:t>L’accord signé le 11 janvier</w:t>
      </w:r>
      <w:r>
        <w:rPr>
          <w:rFonts w:ascii="Arial" w:eastAsiaTheme="minorHAnsi" w:hAnsi="Arial" w:cs="Arial"/>
          <w:color w:val="000000"/>
          <w:sz w:val="28"/>
          <w:szCs w:val="28"/>
          <w:lang w:eastAsia="en-US"/>
        </w:rPr>
        <w:t xml:space="preserve">  2013 va profondément modifier les droits sociaux des salariés et des employeurs. Il va être discuté au parlement au printemps. Venez vous informer, comprendre et vous faire une opinion sur cet accord avec les syndicats signataires de l’accord et ceux qui pen</w:t>
      </w:r>
      <w:r w:rsidR="00135A4B">
        <w:rPr>
          <w:rFonts w:ascii="Arial" w:eastAsiaTheme="minorHAnsi" w:hAnsi="Arial" w:cs="Arial"/>
          <w:color w:val="000000"/>
          <w:sz w:val="28"/>
          <w:szCs w:val="28"/>
          <w:lang w:eastAsia="en-US"/>
        </w:rPr>
        <w:t>sent au contraire que cet accord est dangereux pour les salariés.</w:t>
      </w:r>
    </w:p>
    <w:p w:rsidR="00B311CB" w:rsidRPr="00BD1EE0" w:rsidRDefault="00B311CB" w:rsidP="002F7F0F">
      <w:pPr>
        <w:autoSpaceDE w:val="0"/>
        <w:autoSpaceDN w:val="0"/>
        <w:adjustRightInd w:val="0"/>
        <w:rPr>
          <w:rFonts w:ascii="Arial" w:eastAsiaTheme="minorHAnsi" w:hAnsi="Arial" w:cs="Arial"/>
          <w:color w:val="000000"/>
          <w:sz w:val="16"/>
          <w:szCs w:val="16"/>
          <w:lang w:eastAsia="en-US"/>
        </w:rPr>
      </w:pPr>
      <w:bookmarkStart w:id="0" w:name="_GoBack"/>
      <w:bookmarkEnd w:id="0"/>
    </w:p>
    <w:p w:rsidR="009B7B17" w:rsidRPr="001D23CF" w:rsidRDefault="009B7B17" w:rsidP="009B7B17">
      <w:pPr>
        <w:tabs>
          <w:tab w:val="num" w:pos="720"/>
        </w:tabs>
        <w:ind w:left="360"/>
        <w:rPr>
          <w:b/>
          <w:bCs/>
          <w:szCs w:val="24"/>
        </w:rPr>
      </w:pPr>
      <w:r w:rsidRPr="001D23CF">
        <w:rPr>
          <w:noProof/>
        </w:rPr>
        <w:drawing>
          <wp:anchor distT="0" distB="0" distL="114300" distR="114300" simplePos="0" relativeHeight="251659264" behindDoc="0" locked="0" layoutInCell="1" allowOverlap="1">
            <wp:simplePos x="0" y="0"/>
            <wp:positionH relativeFrom="column">
              <wp:posOffset>-203835</wp:posOffset>
            </wp:positionH>
            <wp:positionV relativeFrom="paragraph">
              <wp:posOffset>92710</wp:posOffset>
            </wp:positionV>
            <wp:extent cx="561340" cy="9429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340" cy="942975"/>
                    </a:xfrm>
                    <a:prstGeom prst="rect">
                      <a:avLst/>
                    </a:prstGeom>
                    <a:noFill/>
                  </pic:spPr>
                </pic:pic>
              </a:graphicData>
            </a:graphic>
          </wp:anchor>
        </w:drawing>
      </w:r>
    </w:p>
    <w:p w:rsidR="009B7B17" w:rsidRPr="001D23CF" w:rsidRDefault="009B7B17" w:rsidP="009B7B17">
      <w:pPr>
        <w:tabs>
          <w:tab w:val="num" w:pos="720"/>
        </w:tabs>
        <w:ind w:left="360"/>
        <w:rPr>
          <w:b/>
          <w:bCs/>
          <w:szCs w:val="24"/>
        </w:rPr>
      </w:pPr>
    </w:p>
    <w:p w:rsidR="009B7B17" w:rsidRPr="001D23CF" w:rsidRDefault="009B7B17" w:rsidP="001D23CF">
      <w:pPr>
        <w:tabs>
          <w:tab w:val="num" w:pos="720"/>
        </w:tabs>
        <w:ind w:left="360"/>
        <w:rPr>
          <w:smallCaps/>
          <w:spacing w:val="20"/>
          <w:sz w:val="16"/>
        </w:rPr>
      </w:pPr>
      <w:r w:rsidRPr="001D23CF">
        <w:rPr>
          <w:b/>
          <w:bCs/>
          <w:szCs w:val="24"/>
        </w:rPr>
        <w:t xml:space="preserve">A T </w:t>
      </w:r>
      <w:proofErr w:type="spellStart"/>
      <w:r w:rsidRPr="001D23CF">
        <w:rPr>
          <w:b/>
          <w:bCs/>
          <w:szCs w:val="24"/>
        </w:rPr>
        <w:t>T</w:t>
      </w:r>
      <w:proofErr w:type="spellEnd"/>
      <w:r w:rsidRPr="001D23CF">
        <w:rPr>
          <w:b/>
          <w:bCs/>
          <w:szCs w:val="24"/>
        </w:rPr>
        <w:t xml:space="preserve"> A C </w:t>
      </w:r>
      <w:r w:rsidRPr="001D23CF">
        <w:rPr>
          <w:b/>
          <w:bCs/>
          <w:i/>
          <w:iCs/>
          <w:szCs w:val="24"/>
        </w:rPr>
        <w:t>Gard Rhodanien</w:t>
      </w:r>
      <w:r w:rsidRPr="001D23CF">
        <w:rPr>
          <w:rStyle w:val="lev"/>
          <w:smallCaps/>
          <w:spacing w:val="20"/>
          <w:sz w:val="16"/>
        </w:rPr>
        <w:t>A</w:t>
      </w:r>
      <w:r w:rsidRPr="001D23CF">
        <w:rPr>
          <w:smallCaps/>
          <w:spacing w:val="20"/>
          <w:sz w:val="16"/>
        </w:rPr>
        <w:t>ssociation pour une</w:t>
      </w:r>
      <w:r w:rsidRPr="001D23CF">
        <w:rPr>
          <w:rStyle w:val="lev"/>
          <w:smallCaps/>
          <w:spacing w:val="20"/>
          <w:sz w:val="16"/>
        </w:rPr>
        <w:t xml:space="preserve"> T</w:t>
      </w:r>
      <w:r w:rsidRPr="001D23CF">
        <w:rPr>
          <w:smallCaps/>
          <w:spacing w:val="20"/>
          <w:sz w:val="16"/>
        </w:rPr>
        <w:t xml:space="preserve">axation des </w:t>
      </w:r>
      <w:r w:rsidRPr="001D23CF">
        <w:rPr>
          <w:rStyle w:val="lev"/>
          <w:smallCaps/>
          <w:spacing w:val="20"/>
          <w:sz w:val="16"/>
        </w:rPr>
        <w:t>T</w:t>
      </w:r>
      <w:r w:rsidRPr="001D23CF">
        <w:rPr>
          <w:smallCaps/>
          <w:spacing w:val="20"/>
          <w:sz w:val="16"/>
        </w:rPr>
        <w:t>ransactions financièrespour l'</w:t>
      </w:r>
      <w:r w:rsidRPr="001D23CF">
        <w:rPr>
          <w:rStyle w:val="lev"/>
          <w:smallCaps/>
          <w:spacing w:val="20"/>
          <w:sz w:val="16"/>
        </w:rPr>
        <w:t>A</w:t>
      </w:r>
      <w:r w:rsidRPr="001D23CF">
        <w:rPr>
          <w:smallCaps/>
          <w:spacing w:val="20"/>
          <w:sz w:val="16"/>
        </w:rPr>
        <w:t xml:space="preserve">ide aux </w:t>
      </w:r>
      <w:r w:rsidRPr="001D23CF">
        <w:rPr>
          <w:rStyle w:val="lev"/>
          <w:smallCaps/>
          <w:spacing w:val="20"/>
          <w:sz w:val="16"/>
        </w:rPr>
        <w:t>C</w:t>
      </w:r>
      <w:r w:rsidRPr="001D23CF">
        <w:rPr>
          <w:smallCaps/>
          <w:spacing w:val="20"/>
          <w:sz w:val="16"/>
        </w:rPr>
        <w:t>itoyens</w:t>
      </w:r>
    </w:p>
    <w:p w:rsidR="009D5552" w:rsidRDefault="009B7B17" w:rsidP="001D23CF">
      <w:pPr>
        <w:jc w:val="center"/>
      </w:pPr>
      <w:r w:rsidRPr="001D23CF">
        <w:rPr>
          <w:i/>
          <w:iCs/>
          <w:sz w:val="16"/>
        </w:rPr>
        <w:t xml:space="preserve">75 bis avenue de la </w:t>
      </w:r>
      <w:proofErr w:type="spellStart"/>
      <w:r w:rsidRPr="001D23CF">
        <w:rPr>
          <w:i/>
          <w:iCs/>
          <w:sz w:val="16"/>
        </w:rPr>
        <w:t>M</w:t>
      </w:r>
      <w:r w:rsidR="001D23CF">
        <w:rPr>
          <w:i/>
          <w:iCs/>
          <w:sz w:val="16"/>
        </w:rPr>
        <w:t>argue</w:t>
      </w:r>
      <w:proofErr w:type="spellEnd"/>
      <w:r w:rsidR="001D23CF">
        <w:rPr>
          <w:i/>
          <w:iCs/>
          <w:sz w:val="16"/>
        </w:rPr>
        <w:t xml:space="preserve"> 30 200 </w:t>
      </w:r>
      <w:proofErr w:type="spellStart"/>
      <w:r w:rsidR="001D23CF">
        <w:rPr>
          <w:i/>
          <w:iCs/>
          <w:sz w:val="16"/>
        </w:rPr>
        <w:t>Bagnols</w:t>
      </w:r>
      <w:proofErr w:type="spellEnd"/>
      <w:r w:rsidR="001D23CF">
        <w:rPr>
          <w:i/>
          <w:iCs/>
          <w:sz w:val="16"/>
        </w:rPr>
        <w:t xml:space="preserve"> sur Cèze  </w:t>
      </w:r>
      <w:r w:rsidRPr="001D23CF">
        <w:rPr>
          <w:i/>
          <w:iCs/>
          <w:sz w:val="16"/>
        </w:rPr>
        <w:t xml:space="preserve">  attacgard-rhodanien@attac.orgagrée association nationale de jeunesse et d'éducation populaire   </w:t>
      </w:r>
      <w:hyperlink r:id="rId8" w:history="1">
        <w:r w:rsidR="001D23CF" w:rsidRPr="00E038AC">
          <w:rPr>
            <w:rStyle w:val="Lienhypertexte"/>
            <w:i/>
            <w:iCs/>
            <w:sz w:val="16"/>
          </w:rPr>
          <w:t>www.local.attac.org/attac30</w:t>
        </w:r>
      </w:hyperlink>
    </w:p>
    <w:p w:rsidR="001D23CF" w:rsidRPr="001D23CF" w:rsidRDefault="001D23CF" w:rsidP="001D23CF">
      <w:pPr>
        <w:jc w:val="center"/>
      </w:pPr>
      <w:r>
        <w:t>NE PAS JETER SUR LA VOIE PUBLIQUE</w:t>
      </w:r>
    </w:p>
    <w:sectPr w:rsidR="001D23CF" w:rsidRPr="001D23CF" w:rsidSect="00796B8A">
      <w:pgSz w:w="11906" w:h="16838"/>
      <w:pgMar w:top="709"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04B67"/>
    <w:multiLevelType w:val="hybridMultilevel"/>
    <w:tmpl w:val="4B0EA82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4A1504"/>
    <w:multiLevelType w:val="hybridMultilevel"/>
    <w:tmpl w:val="4E8848C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60B22"/>
    <w:rsid w:val="00135A4B"/>
    <w:rsid w:val="001D23CF"/>
    <w:rsid w:val="002311DF"/>
    <w:rsid w:val="002F7F0F"/>
    <w:rsid w:val="0037561B"/>
    <w:rsid w:val="00560B22"/>
    <w:rsid w:val="00717AE0"/>
    <w:rsid w:val="00796B8A"/>
    <w:rsid w:val="008E592C"/>
    <w:rsid w:val="009A33BE"/>
    <w:rsid w:val="009B7B17"/>
    <w:rsid w:val="009D5552"/>
    <w:rsid w:val="00B311CB"/>
    <w:rsid w:val="00B70340"/>
    <w:rsid w:val="00BD1EE0"/>
    <w:rsid w:val="00F76D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17"/>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7B17"/>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B7B17"/>
    <w:rPr>
      <w:rFonts w:ascii="Tahoma" w:hAnsi="Tahoma" w:cs="Tahoma"/>
      <w:sz w:val="16"/>
      <w:szCs w:val="16"/>
    </w:rPr>
  </w:style>
  <w:style w:type="character" w:styleId="lev">
    <w:name w:val="Strong"/>
    <w:qFormat/>
    <w:rsid w:val="009B7B17"/>
    <w:rPr>
      <w:b/>
      <w:bCs/>
    </w:rPr>
  </w:style>
  <w:style w:type="paragraph" w:styleId="Paragraphedeliste">
    <w:name w:val="List Paragraph"/>
    <w:basedOn w:val="Normal"/>
    <w:uiPriority w:val="34"/>
    <w:qFormat/>
    <w:rsid w:val="001D23CF"/>
    <w:pPr>
      <w:ind w:left="720"/>
      <w:contextualSpacing/>
    </w:pPr>
  </w:style>
  <w:style w:type="character" w:styleId="Lienhypertexte">
    <w:name w:val="Hyperlink"/>
    <w:basedOn w:val="Policepardfaut"/>
    <w:uiPriority w:val="99"/>
    <w:unhideWhenUsed/>
    <w:rsid w:val="001D2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17"/>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7B17"/>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B7B17"/>
    <w:rPr>
      <w:rFonts w:ascii="Tahoma" w:hAnsi="Tahoma" w:cs="Tahoma"/>
      <w:sz w:val="16"/>
      <w:szCs w:val="16"/>
    </w:rPr>
  </w:style>
  <w:style w:type="character" w:styleId="lev">
    <w:name w:val="Strong"/>
    <w:qFormat/>
    <w:rsid w:val="009B7B17"/>
    <w:rPr>
      <w:b/>
      <w:bCs/>
    </w:rPr>
  </w:style>
  <w:style w:type="paragraph" w:styleId="Paragraphedeliste">
    <w:name w:val="List Paragraph"/>
    <w:basedOn w:val="Normal"/>
    <w:uiPriority w:val="34"/>
    <w:qFormat/>
    <w:rsid w:val="001D23CF"/>
    <w:pPr>
      <w:ind w:left="720"/>
      <w:contextualSpacing/>
    </w:pPr>
  </w:style>
  <w:style w:type="character" w:styleId="Lienhypertexte">
    <w:name w:val="Hyperlink"/>
    <w:basedOn w:val="Policepardfaut"/>
    <w:uiPriority w:val="99"/>
    <w:unhideWhenUsed/>
    <w:rsid w:val="001D23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attac.org/attac3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A4C3-8C8A-4B9E-BCFA-4EA7A0DC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143</Words>
  <Characters>791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user</cp:lastModifiedBy>
  <cp:revision>5</cp:revision>
  <cp:lastPrinted>2012-09-19T06:01:00Z</cp:lastPrinted>
  <dcterms:created xsi:type="dcterms:W3CDTF">2013-03-20T10:00:00Z</dcterms:created>
  <dcterms:modified xsi:type="dcterms:W3CDTF">2013-03-20T10:25:00Z</dcterms:modified>
</cp:coreProperties>
</file>