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06AA" w:rsidRPr="00FD531A" w:rsidRDefault="00E83EFF" w:rsidP="00144D67">
      <w:pPr>
        <w:jc w:val="center"/>
        <w:rPr>
          <w:b/>
          <w:sz w:val="28"/>
          <w:szCs w:val="28"/>
        </w:rPr>
      </w:pPr>
      <w:proofErr w:type="spellStart"/>
      <w:r w:rsidRPr="00FD531A">
        <w:rPr>
          <w:b/>
          <w:sz w:val="28"/>
          <w:szCs w:val="28"/>
        </w:rPr>
        <w:t>SLVIe</w:t>
      </w:r>
      <w:proofErr w:type="spellEnd"/>
      <w:r w:rsidRPr="00FD531A">
        <w:rPr>
          <w:b/>
          <w:sz w:val="28"/>
          <w:szCs w:val="28"/>
        </w:rPr>
        <w:t xml:space="preserve"> COSTIERES – CMCAS LANGUEDOC</w:t>
      </w:r>
    </w:p>
    <w:p w:rsidR="00E83EFF" w:rsidRDefault="00E83EFF" w:rsidP="00144D67">
      <w:pPr>
        <w:jc w:val="center"/>
      </w:pPr>
    </w:p>
    <w:p w:rsidR="00E83EFF" w:rsidRPr="0032241D" w:rsidRDefault="0032241D" w:rsidP="00144D67">
      <w:pPr>
        <w:pStyle w:val="Paragraphedeliste"/>
        <w:jc w:val="center"/>
        <w:rPr>
          <w:sz w:val="40"/>
          <w:szCs w:val="40"/>
        </w:rPr>
      </w:pPr>
      <w:r>
        <w:rPr>
          <w:sz w:val="40"/>
          <w:szCs w:val="40"/>
        </w:rPr>
        <w:t xml:space="preserve">Mardi </w:t>
      </w:r>
      <w:r w:rsidR="00E83EFF" w:rsidRPr="0032241D">
        <w:rPr>
          <w:sz w:val="40"/>
          <w:szCs w:val="40"/>
        </w:rPr>
        <w:t>24 novembre 2015</w:t>
      </w:r>
      <w:r>
        <w:rPr>
          <w:sz w:val="40"/>
          <w:szCs w:val="40"/>
        </w:rPr>
        <w:t xml:space="preserve"> </w:t>
      </w:r>
      <w:r w:rsidR="00E83EFF" w:rsidRPr="0032241D">
        <w:rPr>
          <w:sz w:val="40"/>
          <w:szCs w:val="40"/>
        </w:rPr>
        <w:t xml:space="preserve"> 18h30</w:t>
      </w:r>
      <w:r>
        <w:rPr>
          <w:sz w:val="40"/>
          <w:szCs w:val="40"/>
        </w:rPr>
        <w:t xml:space="preserve"> </w:t>
      </w:r>
      <w:r w:rsidRPr="0032241D">
        <w:rPr>
          <w:sz w:val="40"/>
          <w:szCs w:val="40"/>
        </w:rPr>
        <w:t xml:space="preserve"> Salle 222 rue de Maupassant Nîmes</w:t>
      </w:r>
    </w:p>
    <w:p w:rsidR="00E83EFF" w:rsidRDefault="00E83EFF"/>
    <w:p w:rsidR="00E83EFF" w:rsidRDefault="00E83EFF"/>
    <w:p w:rsidR="00E83EFF" w:rsidRPr="0032241D" w:rsidRDefault="00E83EFF" w:rsidP="00144D67">
      <w:pPr>
        <w:jc w:val="center"/>
        <w:rPr>
          <w:b/>
          <w:sz w:val="40"/>
          <w:szCs w:val="40"/>
        </w:rPr>
      </w:pPr>
      <w:r w:rsidRPr="0032241D">
        <w:rPr>
          <w:b/>
          <w:sz w:val="40"/>
          <w:szCs w:val="40"/>
        </w:rPr>
        <w:t>La situation politique générale en Bolivie,</w:t>
      </w:r>
      <w:r w:rsidR="0032241D" w:rsidRPr="0032241D">
        <w:rPr>
          <w:b/>
          <w:sz w:val="40"/>
          <w:szCs w:val="40"/>
        </w:rPr>
        <w:t xml:space="preserve"> </w:t>
      </w:r>
      <w:r w:rsidRPr="0032241D">
        <w:rPr>
          <w:b/>
          <w:sz w:val="40"/>
          <w:szCs w:val="40"/>
        </w:rPr>
        <w:t xml:space="preserve">la politique sanitaire de l'actuel gouvernement et les aspects de notre action dans le département du </w:t>
      </w:r>
      <w:r w:rsidR="0032241D" w:rsidRPr="0032241D">
        <w:rPr>
          <w:b/>
          <w:sz w:val="40"/>
          <w:szCs w:val="40"/>
        </w:rPr>
        <w:t>Beni (</w:t>
      </w:r>
      <w:r w:rsidRPr="0032241D">
        <w:rPr>
          <w:b/>
          <w:sz w:val="40"/>
          <w:szCs w:val="40"/>
        </w:rPr>
        <w:t>un des 9 départements du pays).</w:t>
      </w:r>
    </w:p>
    <w:p w:rsidR="0032241D" w:rsidRPr="0032241D" w:rsidRDefault="0032241D" w:rsidP="00144D67">
      <w:pPr>
        <w:jc w:val="center"/>
        <w:rPr>
          <w:sz w:val="40"/>
          <w:szCs w:val="40"/>
        </w:rPr>
      </w:pPr>
    </w:p>
    <w:p w:rsidR="0032241D" w:rsidRDefault="0032241D" w:rsidP="00144D67">
      <w:pPr>
        <w:jc w:val="center"/>
        <w:rPr>
          <w:sz w:val="40"/>
          <w:szCs w:val="40"/>
        </w:rPr>
      </w:pPr>
      <w:r w:rsidRPr="0032241D">
        <w:rPr>
          <w:sz w:val="40"/>
          <w:szCs w:val="40"/>
        </w:rPr>
        <w:t>Par yves Verdeil</w:t>
      </w:r>
      <w:r>
        <w:rPr>
          <w:sz w:val="40"/>
          <w:szCs w:val="40"/>
        </w:rPr>
        <w:t xml:space="preserve"> – Association ERNESTO § enfants de Bolivie</w:t>
      </w:r>
    </w:p>
    <w:p w:rsidR="0032241D" w:rsidRDefault="00FD531A" w:rsidP="00E83EFF">
      <w:pPr>
        <w:rPr>
          <w:sz w:val="40"/>
          <w:szCs w:val="40"/>
        </w:rPr>
      </w:pPr>
      <w:r>
        <w:rPr>
          <w:noProof/>
          <w:sz w:val="40"/>
          <w:szCs w:val="40"/>
        </w:rPr>
        <mc:AlternateContent>
          <mc:Choice Requires="wps">
            <w:drawing>
              <wp:anchor distT="0" distB="0" distL="114300" distR="114300" simplePos="0" relativeHeight="251659264" behindDoc="0" locked="0" layoutInCell="1" allowOverlap="1" wp14:anchorId="6A77E727" wp14:editId="14EBBD01">
                <wp:simplePos x="0" y="0"/>
                <wp:positionH relativeFrom="column">
                  <wp:posOffset>2841625</wp:posOffset>
                </wp:positionH>
                <wp:positionV relativeFrom="paragraph">
                  <wp:posOffset>252095</wp:posOffset>
                </wp:positionV>
                <wp:extent cx="6667500" cy="2453640"/>
                <wp:effectExtent l="0" t="0" r="19050" b="22860"/>
                <wp:wrapNone/>
                <wp:docPr id="2" name="Zone de texte 2"/>
                <wp:cNvGraphicFramePr/>
                <a:graphic xmlns:a="http://schemas.openxmlformats.org/drawingml/2006/main">
                  <a:graphicData uri="http://schemas.microsoft.com/office/word/2010/wordprocessingShape">
                    <wps:wsp>
                      <wps:cNvSpPr txBox="1"/>
                      <wps:spPr>
                        <a:xfrm>
                          <a:off x="0" y="0"/>
                          <a:ext cx="6667500" cy="24536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779B7" w:rsidRDefault="003779B7">
                            <w:pPr>
                              <w:rPr>
                                <w:sz w:val="36"/>
                                <w:szCs w:val="36"/>
                              </w:rPr>
                            </w:pPr>
                            <w:r>
                              <w:rPr>
                                <w:sz w:val="36"/>
                                <w:szCs w:val="36"/>
                              </w:rPr>
                              <w:t>C’est l</w:t>
                            </w:r>
                            <w:r w:rsidR="0032241D" w:rsidRPr="00715E51">
                              <w:rPr>
                                <w:sz w:val="36"/>
                                <w:szCs w:val="36"/>
                              </w:rPr>
                              <w:t xml:space="preserve">’occasion de parler du Président Bolivien </w:t>
                            </w:r>
                            <w:proofErr w:type="spellStart"/>
                            <w:r w:rsidR="0032241D" w:rsidRPr="00715E51">
                              <w:rPr>
                                <w:sz w:val="36"/>
                                <w:szCs w:val="36"/>
                              </w:rPr>
                              <w:t>Evo</w:t>
                            </w:r>
                            <w:proofErr w:type="spellEnd"/>
                            <w:r w:rsidR="0032241D" w:rsidRPr="00715E51">
                              <w:rPr>
                                <w:sz w:val="36"/>
                                <w:szCs w:val="36"/>
                              </w:rPr>
                              <w:t xml:space="preserve"> MORALES</w:t>
                            </w:r>
                            <w:r>
                              <w:rPr>
                                <w:sz w:val="36"/>
                                <w:szCs w:val="36"/>
                              </w:rPr>
                              <w:t>.</w:t>
                            </w:r>
                          </w:p>
                          <w:p w:rsidR="003779B7" w:rsidRDefault="003779B7">
                            <w:pPr>
                              <w:rPr>
                                <w:sz w:val="36"/>
                                <w:szCs w:val="36"/>
                              </w:rPr>
                            </w:pPr>
                            <w:r>
                              <w:rPr>
                                <w:sz w:val="36"/>
                                <w:szCs w:val="36"/>
                              </w:rPr>
                              <w:t xml:space="preserve"> R</w:t>
                            </w:r>
                            <w:r w:rsidR="00715E51" w:rsidRPr="00715E51">
                              <w:rPr>
                                <w:sz w:val="36"/>
                                <w:szCs w:val="36"/>
                              </w:rPr>
                              <w:t>éélu pour la troisième fois, cet indien timide, a géré les problèmes avec prudence et rigueur</w:t>
                            </w:r>
                            <w:r w:rsidR="00144D67">
                              <w:rPr>
                                <w:sz w:val="36"/>
                                <w:szCs w:val="36"/>
                              </w:rPr>
                              <w:t xml:space="preserve"> sur la base de ses engagements</w:t>
                            </w:r>
                            <w:r w:rsidR="00715E51" w:rsidRPr="00715E51">
                              <w:rPr>
                                <w:sz w:val="36"/>
                                <w:szCs w:val="36"/>
                              </w:rPr>
                              <w:t>.</w:t>
                            </w:r>
                          </w:p>
                          <w:p w:rsidR="00144D67" w:rsidRDefault="00715E51">
                            <w:pPr>
                              <w:rPr>
                                <w:sz w:val="36"/>
                                <w:szCs w:val="36"/>
                              </w:rPr>
                            </w:pPr>
                            <w:r w:rsidRPr="00715E51">
                              <w:rPr>
                                <w:sz w:val="36"/>
                                <w:szCs w:val="36"/>
                              </w:rPr>
                              <w:t xml:space="preserve"> </w:t>
                            </w:r>
                            <w:r w:rsidR="003779B7">
                              <w:rPr>
                                <w:sz w:val="36"/>
                                <w:szCs w:val="36"/>
                              </w:rPr>
                              <w:t>Autant de</w:t>
                            </w:r>
                            <w:r w:rsidRPr="00715E51">
                              <w:rPr>
                                <w:sz w:val="36"/>
                                <w:szCs w:val="36"/>
                              </w:rPr>
                              <w:t xml:space="preserve"> raison</w:t>
                            </w:r>
                            <w:r w:rsidR="003779B7">
                              <w:rPr>
                                <w:sz w:val="36"/>
                                <w:szCs w:val="36"/>
                              </w:rPr>
                              <w:t>s</w:t>
                            </w:r>
                            <w:r w:rsidRPr="00715E51">
                              <w:rPr>
                                <w:sz w:val="36"/>
                                <w:szCs w:val="36"/>
                              </w:rPr>
                              <w:t xml:space="preserve"> qui </w:t>
                            </w:r>
                            <w:r w:rsidR="003779B7">
                              <w:rPr>
                                <w:sz w:val="36"/>
                                <w:szCs w:val="36"/>
                              </w:rPr>
                              <w:t>font</w:t>
                            </w:r>
                            <w:r w:rsidRPr="00715E51">
                              <w:rPr>
                                <w:sz w:val="36"/>
                                <w:szCs w:val="36"/>
                              </w:rPr>
                              <w:t xml:space="preserve"> que le peuple le garde aux commandes. </w:t>
                            </w:r>
                          </w:p>
                          <w:p w:rsidR="0032241D" w:rsidRPr="00715E51" w:rsidRDefault="00144D67">
                            <w:pPr>
                              <w:rPr>
                                <w:sz w:val="36"/>
                                <w:szCs w:val="36"/>
                              </w:rPr>
                            </w:pPr>
                            <w:r>
                              <w:rPr>
                                <w:sz w:val="36"/>
                                <w:szCs w:val="36"/>
                              </w:rPr>
                              <w:t>« </w:t>
                            </w:r>
                            <w:r w:rsidR="00715E51" w:rsidRPr="00715E51">
                              <w:rPr>
                                <w:sz w:val="36"/>
                                <w:szCs w:val="36"/>
                              </w:rPr>
                              <w:t>J’ai la présidence pas le pouvoir</w:t>
                            </w:r>
                            <w:r>
                              <w:rPr>
                                <w:sz w:val="36"/>
                                <w:szCs w:val="36"/>
                              </w:rPr>
                              <w:t> »</w:t>
                            </w:r>
                            <w:r w:rsidR="00715E51" w:rsidRPr="00715E51">
                              <w:rPr>
                                <w:sz w:val="36"/>
                                <w:szCs w:val="36"/>
                              </w:rPr>
                              <w:t xml:space="preserve"> disait-il.</w:t>
                            </w:r>
                          </w:p>
                          <w:p w:rsidR="00715E51" w:rsidRPr="00715E51" w:rsidRDefault="00715E51">
                            <w:pPr>
                              <w:rPr>
                                <w:sz w:val="36"/>
                                <w:szCs w:val="36"/>
                              </w:rPr>
                            </w:pPr>
                            <w:r w:rsidRPr="00715E51">
                              <w:rPr>
                                <w:sz w:val="36"/>
                                <w:szCs w:val="36"/>
                              </w:rPr>
                              <w:t>Yves Verdeil, nous parlera de son ressenti acquis lors de ses diverses actions solidaires, aides aux enfants, création de centre</w:t>
                            </w:r>
                            <w:r w:rsidR="00FD531A">
                              <w:rPr>
                                <w:sz w:val="36"/>
                                <w:szCs w:val="36"/>
                              </w:rPr>
                              <w:t>s</w:t>
                            </w:r>
                            <w:r w:rsidRPr="00715E51">
                              <w:rPr>
                                <w:sz w:val="36"/>
                                <w:szCs w:val="36"/>
                              </w:rPr>
                              <w:t xml:space="preserve"> de santé, for</w:t>
                            </w:r>
                            <w:r w:rsidR="00FD531A">
                              <w:rPr>
                                <w:sz w:val="36"/>
                                <w:szCs w:val="36"/>
                              </w:rPr>
                              <w:t>mation de praticiens</w:t>
                            </w:r>
                            <w:r w:rsidRPr="00715E51">
                              <w:rPr>
                                <w:sz w:val="36"/>
                                <w:szCs w:val="36"/>
                              </w:rPr>
                              <w:t xml:space="preserve">, transmission de </w:t>
                            </w:r>
                            <w:r w:rsidR="00144D67" w:rsidRPr="00715E51">
                              <w:rPr>
                                <w:sz w:val="36"/>
                                <w:szCs w:val="36"/>
                              </w:rPr>
                              <w:t>compétences,</w:t>
                            </w:r>
                            <w:r w:rsidRPr="00715E51">
                              <w:rPr>
                                <w:sz w:val="36"/>
                                <w:szCs w:val="36"/>
                              </w:rPr>
                              <w:t xml:space="preserve"> partenariat avec nos universités.</w:t>
                            </w:r>
                          </w:p>
                          <w:p w:rsidR="00715E51" w:rsidRPr="00715E51" w:rsidRDefault="00715E51">
                            <w:pPr>
                              <w:rPr>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223.75pt;margin-top:19.85pt;width:525pt;height:193.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" fillcolor="white [3201]" strokeweight=".5pt">
                <v:textbox>
                  <w:txbxContent>
                    <w:p w:rsidR="003779B7" w:rsidRDefault="003779B7">
                      <w:pPr>
                        <w:rPr>
                          <w:sz w:val="36"/>
                          <w:szCs w:val="36"/>
                        </w:rPr>
                      </w:pPr>
                      <w:r>
                        <w:rPr>
                          <w:sz w:val="36"/>
                          <w:szCs w:val="36"/>
                        </w:rPr>
                        <w:t>C’est l</w:t>
                      </w:r>
                      <w:r w:rsidR="0032241D" w:rsidRPr="00715E51">
                        <w:rPr>
                          <w:sz w:val="36"/>
                          <w:szCs w:val="36"/>
                        </w:rPr>
                        <w:t xml:space="preserve">’occasion de parler du Président Bolivien </w:t>
                      </w:r>
                      <w:proofErr w:type="spellStart"/>
                      <w:r w:rsidR="0032241D" w:rsidRPr="00715E51">
                        <w:rPr>
                          <w:sz w:val="36"/>
                          <w:szCs w:val="36"/>
                        </w:rPr>
                        <w:t>Evo</w:t>
                      </w:r>
                      <w:proofErr w:type="spellEnd"/>
                      <w:r w:rsidR="0032241D" w:rsidRPr="00715E51">
                        <w:rPr>
                          <w:sz w:val="36"/>
                          <w:szCs w:val="36"/>
                        </w:rPr>
                        <w:t xml:space="preserve"> MORALES</w:t>
                      </w:r>
                      <w:r>
                        <w:rPr>
                          <w:sz w:val="36"/>
                          <w:szCs w:val="36"/>
                        </w:rPr>
                        <w:t>.</w:t>
                      </w:r>
                    </w:p>
                    <w:p w:rsidR="003779B7" w:rsidRDefault="003779B7">
                      <w:pPr>
                        <w:rPr>
                          <w:sz w:val="36"/>
                          <w:szCs w:val="36"/>
                        </w:rPr>
                      </w:pPr>
                      <w:r>
                        <w:rPr>
                          <w:sz w:val="36"/>
                          <w:szCs w:val="36"/>
                        </w:rPr>
                        <w:t xml:space="preserve"> R</w:t>
                      </w:r>
                      <w:r w:rsidR="00715E51" w:rsidRPr="00715E51">
                        <w:rPr>
                          <w:sz w:val="36"/>
                          <w:szCs w:val="36"/>
                        </w:rPr>
                        <w:t>éélu pour la troisième fois, cet indien timide, a géré les problèmes avec prudence et rigueur</w:t>
                      </w:r>
                      <w:r w:rsidR="00144D67">
                        <w:rPr>
                          <w:sz w:val="36"/>
                          <w:szCs w:val="36"/>
                        </w:rPr>
                        <w:t xml:space="preserve"> sur la base de ses engagements</w:t>
                      </w:r>
                      <w:r w:rsidR="00715E51" w:rsidRPr="00715E51">
                        <w:rPr>
                          <w:sz w:val="36"/>
                          <w:szCs w:val="36"/>
                        </w:rPr>
                        <w:t>.</w:t>
                      </w:r>
                    </w:p>
                    <w:p w:rsidR="00144D67" w:rsidRDefault="00715E51">
                      <w:pPr>
                        <w:rPr>
                          <w:sz w:val="36"/>
                          <w:szCs w:val="36"/>
                        </w:rPr>
                      </w:pPr>
                      <w:bookmarkStart w:id="1" w:name="_GoBack"/>
                      <w:bookmarkEnd w:id="1"/>
                      <w:r w:rsidRPr="00715E51">
                        <w:rPr>
                          <w:sz w:val="36"/>
                          <w:szCs w:val="36"/>
                        </w:rPr>
                        <w:t xml:space="preserve"> </w:t>
                      </w:r>
                      <w:r w:rsidR="003779B7">
                        <w:rPr>
                          <w:sz w:val="36"/>
                          <w:szCs w:val="36"/>
                        </w:rPr>
                        <w:t>Autant de</w:t>
                      </w:r>
                      <w:r w:rsidRPr="00715E51">
                        <w:rPr>
                          <w:sz w:val="36"/>
                          <w:szCs w:val="36"/>
                        </w:rPr>
                        <w:t xml:space="preserve"> raison</w:t>
                      </w:r>
                      <w:r w:rsidR="003779B7">
                        <w:rPr>
                          <w:sz w:val="36"/>
                          <w:szCs w:val="36"/>
                        </w:rPr>
                        <w:t>s</w:t>
                      </w:r>
                      <w:r w:rsidRPr="00715E51">
                        <w:rPr>
                          <w:sz w:val="36"/>
                          <w:szCs w:val="36"/>
                        </w:rPr>
                        <w:t xml:space="preserve"> qui </w:t>
                      </w:r>
                      <w:r w:rsidR="003779B7">
                        <w:rPr>
                          <w:sz w:val="36"/>
                          <w:szCs w:val="36"/>
                        </w:rPr>
                        <w:t>font</w:t>
                      </w:r>
                      <w:r w:rsidRPr="00715E51">
                        <w:rPr>
                          <w:sz w:val="36"/>
                          <w:szCs w:val="36"/>
                        </w:rPr>
                        <w:t xml:space="preserve"> que le peuple le garde aux commandes. </w:t>
                      </w:r>
                    </w:p>
                    <w:p w:rsidR="0032241D" w:rsidRPr="00715E51" w:rsidRDefault="00144D67">
                      <w:pPr>
                        <w:rPr>
                          <w:sz w:val="36"/>
                          <w:szCs w:val="36"/>
                        </w:rPr>
                      </w:pPr>
                      <w:r>
                        <w:rPr>
                          <w:sz w:val="36"/>
                          <w:szCs w:val="36"/>
                        </w:rPr>
                        <w:t>« </w:t>
                      </w:r>
                      <w:r w:rsidR="00715E51" w:rsidRPr="00715E51">
                        <w:rPr>
                          <w:sz w:val="36"/>
                          <w:szCs w:val="36"/>
                        </w:rPr>
                        <w:t>J’ai la présidence pas le pouvoir</w:t>
                      </w:r>
                      <w:r>
                        <w:rPr>
                          <w:sz w:val="36"/>
                          <w:szCs w:val="36"/>
                        </w:rPr>
                        <w:t> »</w:t>
                      </w:r>
                      <w:r w:rsidR="00715E51" w:rsidRPr="00715E51">
                        <w:rPr>
                          <w:sz w:val="36"/>
                          <w:szCs w:val="36"/>
                        </w:rPr>
                        <w:t xml:space="preserve"> disait-il.</w:t>
                      </w:r>
                    </w:p>
                    <w:p w:rsidR="00715E51" w:rsidRPr="00715E51" w:rsidRDefault="00715E51">
                      <w:pPr>
                        <w:rPr>
                          <w:sz w:val="36"/>
                          <w:szCs w:val="36"/>
                        </w:rPr>
                      </w:pPr>
                      <w:r w:rsidRPr="00715E51">
                        <w:rPr>
                          <w:sz w:val="36"/>
                          <w:szCs w:val="36"/>
                        </w:rPr>
                        <w:t>Yves Verdeil, nous parlera de son ressenti acquis lors de ses diverses actions solidaires, aides aux enfants, création de centre</w:t>
                      </w:r>
                      <w:r w:rsidR="00FD531A">
                        <w:rPr>
                          <w:sz w:val="36"/>
                          <w:szCs w:val="36"/>
                        </w:rPr>
                        <w:t>s</w:t>
                      </w:r>
                      <w:r w:rsidRPr="00715E51">
                        <w:rPr>
                          <w:sz w:val="36"/>
                          <w:szCs w:val="36"/>
                        </w:rPr>
                        <w:t xml:space="preserve"> de santé, for</w:t>
                      </w:r>
                      <w:r w:rsidR="00FD531A">
                        <w:rPr>
                          <w:sz w:val="36"/>
                          <w:szCs w:val="36"/>
                        </w:rPr>
                        <w:t>mation de praticiens</w:t>
                      </w:r>
                      <w:r w:rsidRPr="00715E51">
                        <w:rPr>
                          <w:sz w:val="36"/>
                          <w:szCs w:val="36"/>
                        </w:rPr>
                        <w:t xml:space="preserve">, transmission de </w:t>
                      </w:r>
                      <w:r w:rsidR="00144D67" w:rsidRPr="00715E51">
                        <w:rPr>
                          <w:sz w:val="36"/>
                          <w:szCs w:val="36"/>
                        </w:rPr>
                        <w:t>compétences,</w:t>
                      </w:r>
                      <w:r w:rsidRPr="00715E51">
                        <w:rPr>
                          <w:sz w:val="36"/>
                          <w:szCs w:val="36"/>
                        </w:rPr>
                        <w:t xml:space="preserve"> partenariat avec nos universités.</w:t>
                      </w:r>
                    </w:p>
                    <w:p w:rsidR="00715E51" w:rsidRPr="00715E51" w:rsidRDefault="00715E51">
                      <w:pPr>
                        <w:rPr>
                          <w:sz w:val="36"/>
                          <w:szCs w:val="36"/>
                        </w:rPr>
                      </w:pPr>
                    </w:p>
                  </w:txbxContent>
                </v:textbox>
              </v:shape>
            </w:pict>
          </mc:Fallback>
        </mc:AlternateContent>
      </w:r>
    </w:p>
    <w:p w:rsidR="0032241D" w:rsidRPr="0032241D" w:rsidRDefault="0032241D" w:rsidP="00E83EFF">
      <w:pPr>
        <w:rPr>
          <w:sz w:val="40"/>
          <w:szCs w:val="40"/>
        </w:rPr>
      </w:pPr>
      <w:r>
        <w:rPr>
          <w:noProof/>
          <w:sz w:val="40"/>
          <w:szCs w:val="40"/>
        </w:rPr>
        <w:drawing>
          <wp:inline distT="0" distB="0" distL="0" distR="0">
            <wp:extent cx="2583180" cy="2095500"/>
            <wp:effectExtent l="0" t="0" r="762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50-CAJAS.jpg"/>
                    <pic:cNvPicPr/>
                  </pic:nvPicPr>
                  <pic:blipFill>
                    <a:blip r:embed="rId6">
                      <a:extLst>
                        <a:ext uri="{28A0092B-C50C-407E-A947-70E740481C1C}">
                          <a14:useLocalDpi xmlns:a14="http://schemas.microsoft.com/office/drawing/2010/main" val="0"/>
                        </a:ext>
                      </a:extLst>
                    </a:blip>
                    <a:stretch>
                      <a:fillRect/>
                    </a:stretch>
                  </pic:blipFill>
                  <pic:spPr>
                    <a:xfrm>
                      <a:off x="0" y="0"/>
                      <a:ext cx="2581638" cy="2094249"/>
                    </a:xfrm>
                    <a:prstGeom prst="rect">
                      <a:avLst/>
                    </a:prstGeom>
                  </pic:spPr>
                </pic:pic>
              </a:graphicData>
            </a:graphic>
          </wp:inline>
        </w:drawing>
      </w:r>
    </w:p>
    <w:p w:rsidR="00D30551" w:rsidRDefault="00D30551"/>
    <w:p w:rsidR="00D30551" w:rsidRPr="00D30551" w:rsidRDefault="00D30551" w:rsidP="00D30551"/>
    <w:p w:rsidR="00D30551" w:rsidRDefault="00D30551" w:rsidP="00D30551"/>
    <w:p w:rsidR="00D30551" w:rsidRPr="00D30551" w:rsidRDefault="00D30551" w:rsidP="00D30551">
      <w:pPr>
        <w:spacing w:before="100" w:beforeAutospacing="1" w:after="100" w:afterAutospacing="1"/>
        <w:rPr>
          <w:rFonts w:eastAsia="Times New Roman"/>
        </w:rPr>
      </w:pPr>
      <w:r>
        <w:lastRenderedPageBreak/>
        <w:tab/>
      </w:r>
      <w:r w:rsidRPr="00D30551">
        <w:rPr>
          <w:rFonts w:eastAsia="Times New Roman"/>
        </w:rPr>
        <w:t xml:space="preserve">Fin 2005, </w:t>
      </w:r>
      <w:proofErr w:type="spellStart"/>
      <w:r w:rsidRPr="00D30551">
        <w:rPr>
          <w:rFonts w:eastAsia="Times New Roman"/>
        </w:rPr>
        <w:t>Evo</w:t>
      </w:r>
      <w:proofErr w:type="spellEnd"/>
      <w:r w:rsidRPr="00D30551">
        <w:rPr>
          <w:rFonts w:eastAsia="Times New Roman"/>
        </w:rPr>
        <w:t xml:space="preserve"> Morales remportait une écrasante victoire à l’élection présidentielle de Bolivie, avec un programme de réforme constitutionnelle, de droits pour les indigènes et la promesse de combattre la pauvreté et le néolibéralisme. Le 3 janvier, tout juste deux jours après sa prise de fonction, Morales recevait la visite de l’ambassadeur américain à La Paz, David L. </w:t>
      </w:r>
      <w:proofErr w:type="spellStart"/>
      <w:r w:rsidRPr="00D30551">
        <w:rPr>
          <w:rFonts w:eastAsia="Times New Roman"/>
        </w:rPr>
        <w:t>Greenlee</w:t>
      </w:r>
      <w:proofErr w:type="spellEnd"/>
      <w:r w:rsidRPr="00D30551">
        <w:rPr>
          <w:rFonts w:eastAsia="Times New Roman"/>
        </w:rPr>
        <w:t xml:space="preserve">. L’ambassadeur n’y alla pas par quatre chemins : l’aide multilatérale à la Bolivie, soumise au feu vert des Etats-Unis, dépendrait de la bonne conduite du gouvernement de Morales. Cela aurait pu être une scène du </w:t>
      </w:r>
      <w:r w:rsidRPr="00D30551">
        <w:rPr>
          <w:rFonts w:eastAsia="Times New Roman"/>
          <w:i/>
          <w:iCs/>
        </w:rPr>
        <w:t>Parrain</w:t>
      </w:r>
      <w:r w:rsidRPr="00D30551">
        <w:rPr>
          <w:rFonts w:eastAsia="Times New Roman"/>
        </w:rPr>
        <w:t>.</w:t>
      </w:r>
    </w:p>
    <w:p w:rsidR="00D30551" w:rsidRPr="00D30551" w:rsidRDefault="00D30551" w:rsidP="00D30551">
      <w:pPr>
        <w:spacing w:before="100" w:beforeAutospacing="1" w:after="100" w:afterAutospacing="1"/>
        <w:rPr>
          <w:rFonts w:eastAsia="Times New Roman"/>
        </w:rPr>
      </w:pPr>
      <w:r w:rsidRPr="00D30551">
        <w:rPr>
          <w:rFonts w:eastAsia="Times New Roman"/>
        </w:rPr>
        <w:t xml:space="preserve">L’ambassadeur montra l’importance cruciale des contributions américaines aux financements internationaux clés dont dépendait l’aide à la Bolivie, tels ceux de la Banque interaméricaine de développement (BID), de la </w:t>
      </w:r>
      <w:bookmarkStart w:id="0" w:name="mot961_3"/>
      <w:r w:rsidRPr="00D30551">
        <w:rPr>
          <w:rFonts w:eastAsia="Times New Roman"/>
        </w:rPr>
        <w:fldChar w:fldCharType="begin"/>
      </w:r>
      <w:r w:rsidRPr="00D30551">
        <w:rPr>
          <w:rFonts w:eastAsia="Times New Roman"/>
        </w:rPr>
        <w:instrText xml:space="preserve"> HYPERLINK "http://cadtm.org/Banque-mondiale,961" </w:instrText>
      </w:r>
      <w:r w:rsidRPr="00D30551">
        <w:rPr>
          <w:rFonts w:eastAsia="Times New Roman"/>
        </w:rPr>
        <w:fldChar w:fldCharType="separate"/>
      </w:r>
      <w:r w:rsidRPr="00D30551">
        <w:rPr>
          <w:rFonts w:eastAsia="Times New Roman"/>
          <w:color w:val="0000FF"/>
          <w:u w:val="single"/>
        </w:rPr>
        <w:t>Banque mondiale Banque mondiale</w:t>
      </w:r>
      <w:r w:rsidRPr="00D30551">
        <w:rPr>
          <w:rFonts w:eastAsia="Times New Roman"/>
          <w:color w:val="0000FF"/>
          <w:u w:val="single"/>
        </w:rPr>
        <w:br/>
        <w:t>BM La Banque internationale pour la reconstruction et le développement (BIRD) a été créée en juillet 1944 à Bretton Woods (États-Unis), à l’initiative de 45 pays réunis pour la première Conférence monétaire et financière des Nations unies. En 2011, 187 pays en étaient membres.</w:t>
      </w:r>
      <w:r w:rsidRPr="00D30551">
        <w:rPr>
          <w:rFonts w:eastAsia="Times New Roman"/>
          <w:color w:val="0000FF"/>
          <w:u w:val="single"/>
        </w:rPr>
        <w:br/>
      </w:r>
      <w:r w:rsidRPr="00D30551">
        <w:rPr>
          <w:rFonts w:eastAsia="Times New Roman"/>
          <w:color w:val="0000FF"/>
          <w:u w:val="single"/>
        </w:rPr>
        <w:br/>
        <w:t>Créée en 1944 à Bretton Woods dans le cadre du nouveau système monétaire international, la Banque possède un capital apporté par les pays membres et surtout emprunte sur les marchés internationaux de capitaux. La Banque finance des projets sectoriels, publics ou privés, à destination des pays du Tiers Monde et de l’ex-bloc soviétique. Elle se compose des cinq filiales suivantes :</w:t>
      </w:r>
      <w:r w:rsidRPr="00D30551">
        <w:rPr>
          <w:rFonts w:eastAsia="Times New Roman"/>
          <w:color w:val="0000FF"/>
          <w:u w:val="single"/>
        </w:rPr>
        <w:br/>
      </w:r>
      <w:r w:rsidRPr="00D30551">
        <w:rPr>
          <w:rFonts w:eastAsia="Times New Roman"/>
          <w:b/>
          <w:bCs/>
          <w:color w:val="0000FF"/>
          <w:u w:val="single"/>
        </w:rPr>
        <w:t xml:space="preserve">La Banque internationale pour la reconstruction et le développement </w:t>
      </w:r>
      <w:r w:rsidRPr="00D30551">
        <w:rPr>
          <w:rFonts w:eastAsia="Times New Roman"/>
          <w:color w:val="0000FF"/>
          <w:u w:val="single"/>
        </w:rPr>
        <w:t>(</w:t>
      </w:r>
      <w:r w:rsidRPr="00D30551">
        <w:rPr>
          <w:rFonts w:eastAsia="Times New Roman"/>
          <w:b/>
          <w:bCs/>
          <w:color w:val="0000FF"/>
          <w:u w:val="single"/>
        </w:rPr>
        <w:t>BIRD</w:t>
      </w:r>
      <w:r w:rsidRPr="00D30551">
        <w:rPr>
          <w:rFonts w:eastAsia="Times New Roman"/>
          <w:color w:val="0000FF"/>
          <w:u w:val="single"/>
        </w:rPr>
        <w:t>, 184 membres en 2003) octroie des prêts concernant de grands secteurs d’activité (agriculture et énergie), essentiellement aux pays à revenus intermédiaires.</w:t>
      </w:r>
      <w:r w:rsidRPr="00D30551">
        <w:rPr>
          <w:rFonts w:eastAsia="Times New Roman"/>
          <w:color w:val="0000FF"/>
          <w:u w:val="single"/>
        </w:rPr>
        <w:br/>
      </w:r>
      <w:r w:rsidRPr="00D30551">
        <w:rPr>
          <w:rFonts w:eastAsia="Times New Roman"/>
          <w:b/>
          <w:bCs/>
          <w:color w:val="0000FF"/>
          <w:u w:val="single"/>
        </w:rPr>
        <w:t xml:space="preserve">L’Association internationale pour le développement </w:t>
      </w:r>
      <w:r w:rsidRPr="00D30551">
        <w:rPr>
          <w:rFonts w:eastAsia="Times New Roman"/>
          <w:color w:val="0000FF"/>
          <w:u w:val="single"/>
        </w:rPr>
        <w:t>(</w:t>
      </w:r>
      <w:r w:rsidRPr="00D30551">
        <w:rPr>
          <w:rFonts w:eastAsia="Times New Roman"/>
          <w:b/>
          <w:bCs/>
          <w:color w:val="0000FF"/>
          <w:u w:val="single"/>
        </w:rPr>
        <w:t>AID, ou IDA</w:t>
      </w:r>
      <w:r w:rsidRPr="00D30551">
        <w:rPr>
          <w:rFonts w:eastAsia="Times New Roman"/>
          <w:color w:val="0000FF"/>
          <w:u w:val="single"/>
        </w:rPr>
        <w:t xml:space="preserve"> selon son appellation anglophone, 164 membres en 2003) s’est spécialisée dans l’octroi à très long terme (35 à 40 ans, dont 10 de grâce) de prêts à taux d’intérêt nuls ou très faibles à destination des pays les moins avancés (PMA).</w:t>
      </w:r>
      <w:r w:rsidRPr="00D30551">
        <w:rPr>
          <w:rFonts w:eastAsia="Times New Roman"/>
          <w:color w:val="0000FF"/>
          <w:u w:val="single"/>
        </w:rPr>
        <w:br/>
      </w:r>
      <w:r w:rsidRPr="00D30551">
        <w:rPr>
          <w:rFonts w:eastAsia="Times New Roman"/>
          <w:b/>
          <w:bCs/>
          <w:color w:val="0000FF"/>
          <w:u w:val="single"/>
        </w:rPr>
        <w:t>La Société financière internationale</w:t>
      </w:r>
      <w:r w:rsidRPr="00D30551">
        <w:rPr>
          <w:rFonts w:eastAsia="Times New Roman"/>
          <w:color w:val="0000FF"/>
          <w:u w:val="single"/>
        </w:rPr>
        <w:t xml:space="preserve"> (</w:t>
      </w:r>
      <w:r w:rsidRPr="00D30551">
        <w:rPr>
          <w:rFonts w:eastAsia="Times New Roman"/>
          <w:b/>
          <w:bCs/>
          <w:color w:val="0000FF"/>
          <w:u w:val="single"/>
        </w:rPr>
        <w:t>SFI</w:t>
      </w:r>
      <w:r w:rsidRPr="00D30551">
        <w:rPr>
          <w:rFonts w:eastAsia="Times New Roman"/>
          <w:color w:val="0000FF"/>
          <w:u w:val="single"/>
        </w:rPr>
        <w:t>) est la filiale de la Banque qui a en charge le financement d’entreprises ou d’institutions privées du Tiers Monde.</w:t>
      </w:r>
      <w:r w:rsidRPr="00D30551">
        <w:rPr>
          <w:rFonts w:eastAsia="Times New Roman"/>
          <w:color w:val="0000FF"/>
          <w:u w:val="single"/>
        </w:rPr>
        <w:br/>
        <w:t xml:space="preserve">Enfin, le </w:t>
      </w:r>
      <w:r w:rsidRPr="00D30551">
        <w:rPr>
          <w:rFonts w:eastAsia="Times New Roman"/>
          <w:b/>
          <w:bCs/>
          <w:color w:val="0000FF"/>
          <w:u w:val="single"/>
        </w:rPr>
        <w:t>Centre international de règlements des différends relatifs aux investissements (CIRDI)</w:t>
      </w:r>
      <w:r w:rsidRPr="00D30551">
        <w:rPr>
          <w:rFonts w:eastAsia="Times New Roman"/>
          <w:color w:val="0000FF"/>
          <w:u w:val="single"/>
        </w:rPr>
        <w:t xml:space="preserve"> gère les conflits d’intérêts tandis que l’Agence multilatérale de garantie des investissements (AMGI) cherche à favoriser l’investissement dans les PED. Avec l’accroissement de l’endettement, la Banque mondiale a, en accord avec le FMI, développé ses interventions dans une perspective macro-économique. Ainsi la Banque impose-t-elle de plus en plus la mise en place de politiques d’ajustement destinées à équilibrer la balance des paiements des pays lourdement endettés. La Banque ne se prive pas de « conseiller » les pays soumis à la thérapeutique du FMI sur la meilleure façon de réduire les déficits budgétaires, de mobiliser l’épargne interne, d’inciter les investisseurs étrangers à s’installer sur place, de libéraliser les changes et les prix. Enfin, la Banque participe financièrement à ces programmes en accordant aux pays qui suivent cette politique, des prêts d’ajustement structurel depuis 1982.</w:t>
      </w:r>
      <w:r w:rsidRPr="00D30551">
        <w:rPr>
          <w:rFonts w:eastAsia="Times New Roman"/>
          <w:color w:val="0000FF"/>
          <w:u w:val="single"/>
        </w:rPr>
        <w:br/>
      </w:r>
      <w:r w:rsidRPr="00D30551">
        <w:rPr>
          <w:rFonts w:eastAsia="Times New Roman"/>
          <w:color w:val="0000FF"/>
          <w:u w:val="single"/>
        </w:rPr>
        <w:br/>
        <w:t>TYPES DE PRETS ACCORDES PAR LA BM :</w:t>
      </w:r>
      <w:r w:rsidRPr="00D30551">
        <w:rPr>
          <w:rFonts w:eastAsia="Times New Roman"/>
          <w:color w:val="0000FF"/>
          <w:u w:val="single"/>
        </w:rPr>
        <w:br/>
        <w:t xml:space="preserve">1) Les prêts-projets : prêts classiques pour des centrales thermiques, le secteur pétrolier, les industries forestières, les projets agricoles, barrages, </w:t>
      </w:r>
      <w:r w:rsidRPr="00D30551">
        <w:rPr>
          <w:rFonts w:eastAsia="Times New Roman"/>
          <w:color w:val="0000FF"/>
          <w:u w:val="single"/>
        </w:rPr>
        <w:lastRenderedPageBreak/>
        <w:t>routes, distribution et assainissement de l’eau, etc.</w:t>
      </w:r>
      <w:r w:rsidRPr="00D30551">
        <w:rPr>
          <w:rFonts w:eastAsia="Times New Roman"/>
          <w:color w:val="0000FF"/>
          <w:u w:val="single"/>
        </w:rPr>
        <w:br/>
        <w:t>2) Les prêts d’ajustement sectoriel qui s’adressent à un secteur entier d’une économie nationale : énergie, agriculture, industrie, etc.</w:t>
      </w:r>
      <w:r w:rsidRPr="00D30551">
        <w:rPr>
          <w:rFonts w:eastAsia="Times New Roman"/>
          <w:color w:val="0000FF"/>
          <w:u w:val="single"/>
        </w:rPr>
        <w:br/>
        <w:t>3) Les prêts à des institutions qui servent à orienter les politiques de certaines institutions vers le commerce extérieur et à ouvrir la voie aux transnationales. Ils financent aussi la privatisation des services publics.</w:t>
      </w:r>
      <w:r w:rsidRPr="00D30551">
        <w:rPr>
          <w:rFonts w:eastAsia="Times New Roman"/>
          <w:color w:val="0000FF"/>
          <w:u w:val="single"/>
        </w:rPr>
        <w:br/>
        <w:t>4) Les prêts d’ajustement structurel, censés atténuer la crise de la dette, qui favorisent invariablement une politique néo-libérale.</w:t>
      </w:r>
      <w:r w:rsidRPr="00D30551">
        <w:rPr>
          <w:rFonts w:eastAsia="Times New Roman"/>
          <w:color w:val="0000FF"/>
          <w:u w:val="single"/>
        </w:rPr>
        <w:br/>
        <w:t>5) Les prêts pour lutter contre la pauvreté.</w:t>
      </w:r>
      <w:r w:rsidRPr="00D30551">
        <w:rPr>
          <w:rFonts w:eastAsia="Times New Roman"/>
          <w:color w:val="0000FF"/>
          <w:u w:val="single"/>
        </w:rPr>
        <w:br/>
        <w:t xml:space="preserve">Site : http://www.banquemondiale.org </w:t>
      </w:r>
      <w:r w:rsidRPr="00D30551">
        <w:rPr>
          <w:rFonts w:eastAsia="Times New Roman"/>
        </w:rPr>
        <w:fldChar w:fldCharType="end"/>
      </w:r>
      <w:bookmarkEnd w:id="0"/>
      <w:r w:rsidRPr="00D30551">
        <w:rPr>
          <w:rFonts w:eastAsia="Times New Roman"/>
        </w:rPr>
        <w:t>et du Fonds monétaire international. « </w:t>
      </w:r>
      <w:r w:rsidRPr="00D30551">
        <w:rPr>
          <w:rFonts w:eastAsia="Times New Roman"/>
          <w:i/>
          <w:iCs/>
        </w:rPr>
        <w:t xml:space="preserve"> Lorsque vous pensez à la BID, vous devez penser aux Etats-Unis</w:t>
      </w:r>
      <w:r w:rsidRPr="00D30551">
        <w:rPr>
          <w:rFonts w:eastAsia="Times New Roman"/>
        </w:rPr>
        <w:t> », commenta l’ambassadeur. « Ce n’est pas du chantage, c’est la simple réalité » (…) « </w:t>
      </w:r>
      <w:r w:rsidRPr="00D30551">
        <w:rPr>
          <w:rFonts w:eastAsia="Times New Roman"/>
          <w:i/>
          <w:iCs/>
        </w:rPr>
        <w:t>J’espère qu’en tant que président de la Bolivie vous comprenez l’importance de cela</w:t>
      </w:r>
      <w:r w:rsidRPr="00D30551">
        <w:rPr>
          <w:rFonts w:eastAsia="Times New Roman"/>
        </w:rPr>
        <w:t> », ajouta-t-il, « </w:t>
      </w:r>
      <w:r w:rsidRPr="00D30551">
        <w:rPr>
          <w:rFonts w:eastAsia="Times New Roman"/>
          <w:i/>
          <w:iCs/>
        </w:rPr>
        <w:t xml:space="preserve"> parce que si nos chemins se séparaient, ce ne serait bon ni pour la région, ni pour la Bolivie, ni pour les Etats-Unis</w:t>
      </w:r>
      <w:r w:rsidRPr="00D30551">
        <w:rPr>
          <w:rFonts w:eastAsia="Times New Roman"/>
        </w:rPr>
        <w:t> ». [</w:t>
      </w:r>
      <w:hyperlink r:id="rId7" w:history="1">
        <w:r w:rsidRPr="00D30551">
          <w:rPr>
            <w:rFonts w:eastAsia="Times New Roman"/>
            <w:color w:val="000099"/>
            <w:u w:val="single"/>
          </w:rPr>
          <w:t>06LAPAZ6</w:t>
        </w:r>
      </w:hyperlink>
      <w:r w:rsidRPr="00D30551">
        <w:rPr>
          <w:rFonts w:eastAsia="Times New Roman"/>
        </w:rPr>
        <w:t>]</w:t>
      </w:r>
    </w:p>
    <w:p w:rsidR="00D30551" w:rsidRPr="00D30551" w:rsidRDefault="00D30551" w:rsidP="00D30551">
      <w:pPr>
        <w:spacing w:before="100" w:beforeAutospacing="1" w:after="100" w:afterAutospacing="1"/>
        <w:rPr>
          <w:rFonts w:eastAsia="Times New Roman"/>
        </w:rPr>
      </w:pPr>
      <w:r w:rsidRPr="00D30551">
        <w:rPr>
          <w:rFonts w:eastAsia="Times New Roman"/>
        </w:rPr>
        <w:t xml:space="preserve">Néanmoins </w:t>
      </w:r>
      <w:proofErr w:type="spellStart"/>
      <w:r w:rsidRPr="00D30551">
        <w:rPr>
          <w:rFonts w:eastAsia="Times New Roman"/>
        </w:rPr>
        <w:t>Evo</w:t>
      </w:r>
      <w:proofErr w:type="spellEnd"/>
      <w:r w:rsidRPr="00D30551">
        <w:rPr>
          <w:rFonts w:eastAsia="Times New Roman"/>
        </w:rPr>
        <w:t xml:space="preserve"> Morales ne modifia pas son programme d’un iota. Dans les jours qui suivirent, il mit les bouchées doubles et présenta des plans de </w:t>
      </w:r>
      <w:proofErr w:type="spellStart"/>
      <w:r w:rsidRPr="00D30551">
        <w:rPr>
          <w:rFonts w:eastAsia="Times New Roman"/>
        </w:rPr>
        <w:t>re</w:t>
      </w:r>
      <w:proofErr w:type="spellEnd"/>
      <w:r w:rsidRPr="00D30551">
        <w:rPr>
          <w:rFonts w:eastAsia="Times New Roman"/>
        </w:rPr>
        <w:t xml:space="preserve">-réglementation des marchés du travail, de renationalisation de l’industrie des hydrocarbures et d’une coopération renforcée avec l’ennemi juré des Etats-Unis, Hugo Chavez. En réponse, </w:t>
      </w:r>
      <w:proofErr w:type="spellStart"/>
      <w:r w:rsidRPr="00D30551">
        <w:rPr>
          <w:rFonts w:eastAsia="Times New Roman"/>
        </w:rPr>
        <w:t>Greenlee</w:t>
      </w:r>
      <w:proofErr w:type="spellEnd"/>
      <w:r w:rsidRPr="00D30551">
        <w:rPr>
          <w:rFonts w:eastAsia="Times New Roman"/>
        </w:rPr>
        <w:t xml:space="preserve"> suggéra un « </w:t>
      </w:r>
      <w:r w:rsidRPr="00D30551">
        <w:rPr>
          <w:rFonts w:eastAsia="Times New Roman"/>
          <w:i/>
          <w:iCs/>
        </w:rPr>
        <w:t>menu de possibilités à la carte</w:t>
      </w:r>
      <w:r w:rsidRPr="00D30551">
        <w:rPr>
          <w:rFonts w:eastAsia="Times New Roman"/>
        </w:rPr>
        <w:t xml:space="preserve"> » pour tenter de contraindre Morales à se plier aux volontés de Washington. Parmi ces mesures : veto aux prêts multilatéraux de plusieurs millions de dollars, report de l’allègement multilatéral programmé de la </w:t>
      </w:r>
      <w:bookmarkStart w:id="1" w:name="mot970_4"/>
      <w:r w:rsidRPr="00D30551">
        <w:rPr>
          <w:rFonts w:eastAsia="Times New Roman"/>
        </w:rPr>
        <w:fldChar w:fldCharType="begin"/>
      </w:r>
      <w:r w:rsidRPr="00D30551">
        <w:rPr>
          <w:rFonts w:eastAsia="Times New Roman"/>
        </w:rPr>
        <w:instrText xml:space="preserve"> HYPERLINK "http://cadtm.org/Dette,970" </w:instrText>
      </w:r>
      <w:r w:rsidRPr="00D30551">
        <w:rPr>
          <w:rFonts w:eastAsia="Times New Roman"/>
        </w:rPr>
        <w:fldChar w:fldCharType="separate"/>
      </w:r>
      <w:r w:rsidRPr="00D30551">
        <w:rPr>
          <w:rFonts w:eastAsia="Times New Roman"/>
          <w:color w:val="0000FF"/>
          <w:u w:val="single"/>
        </w:rPr>
        <w:t xml:space="preserve">dette </w:t>
      </w:r>
      <w:proofErr w:type="spellStart"/>
      <w:r w:rsidRPr="00D30551">
        <w:rPr>
          <w:rFonts w:eastAsia="Times New Roman"/>
          <w:color w:val="0000FF"/>
          <w:u w:val="single"/>
        </w:rPr>
        <w:t>Dette</w:t>
      </w:r>
      <w:proofErr w:type="spellEnd"/>
      <w:r w:rsidRPr="00D30551">
        <w:rPr>
          <w:rFonts w:eastAsia="Times New Roman"/>
          <w:color w:val="0000FF"/>
          <w:u w:val="single"/>
        </w:rPr>
        <w:t xml:space="preserve"> </w:t>
      </w:r>
      <w:proofErr w:type="spellStart"/>
      <w:r w:rsidRPr="00D30551">
        <w:rPr>
          <w:rFonts w:eastAsia="Times New Roman"/>
          <w:b/>
          <w:bCs/>
          <w:color w:val="0000FF"/>
          <w:u w:val="single"/>
        </w:rPr>
        <w:t>Dette</w:t>
      </w:r>
      <w:proofErr w:type="spellEnd"/>
      <w:r w:rsidRPr="00D30551">
        <w:rPr>
          <w:rFonts w:eastAsia="Times New Roman"/>
          <w:b/>
          <w:bCs/>
          <w:color w:val="0000FF"/>
          <w:u w:val="single"/>
        </w:rPr>
        <w:t xml:space="preserve"> multilatérale</w:t>
      </w:r>
      <w:r w:rsidRPr="00D30551">
        <w:rPr>
          <w:rFonts w:eastAsia="Times New Roman"/>
          <w:color w:val="0000FF"/>
          <w:u w:val="single"/>
        </w:rPr>
        <w:t> : Dette qui est due à la Banque mondiale, au FMI, aux banques de développement régionales comme la Banque Africaine de Développement, et à d’autres institutions multilatérales comme le Fonds Européen de Développement.</w:t>
      </w:r>
      <w:r w:rsidRPr="00D30551">
        <w:rPr>
          <w:rFonts w:eastAsia="Times New Roman"/>
          <w:color w:val="0000FF"/>
          <w:u w:val="single"/>
        </w:rPr>
        <w:br/>
      </w:r>
      <w:r w:rsidRPr="00D30551">
        <w:rPr>
          <w:rFonts w:eastAsia="Times New Roman"/>
          <w:b/>
          <w:bCs/>
          <w:color w:val="0000FF"/>
          <w:u w:val="single"/>
        </w:rPr>
        <w:t>Dette privée</w:t>
      </w:r>
      <w:r w:rsidRPr="00D30551">
        <w:rPr>
          <w:rFonts w:eastAsia="Times New Roman"/>
          <w:color w:val="0000FF"/>
          <w:u w:val="single"/>
        </w:rPr>
        <w:t> : Emprunts contractés par des emprunteurs privés quel que soit le prêteur.</w:t>
      </w:r>
      <w:r w:rsidRPr="00D30551">
        <w:rPr>
          <w:rFonts w:eastAsia="Times New Roman"/>
          <w:color w:val="0000FF"/>
          <w:u w:val="single"/>
        </w:rPr>
        <w:br/>
      </w:r>
      <w:r w:rsidRPr="00D30551">
        <w:rPr>
          <w:rFonts w:eastAsia="Times New Roman"/>
          <w:b/>
          <w:bCs/>
          <w:color w:val="0000FF"/>
          <w:u w:val="single"/>
        </w:rPr>
        <w:t>Dette publique</w:t>
      </w:r>
      <w:r w:rsidRPr="00D30551">
        <w:rPr>
          <w:rFonts w:eastAsia="Times New Roman"/>
          <w:color w:val="0000FF"/>
          <w:u w:val="single"/>
        </w:rPr>
        <w:t xml:space="preserve"> : Ensemble des emprunts contractés par des emprunteurs publics. </w:t>
      </w:r>
      <w:r w:rsidRPr="00D30551">
        <w:rPr>
          <w:rFonts w:eastAsia="Times New Roman"/>
        </w:rPr>
        <w:fldChar w:fldCharType="end"/>
      </w:r>
      <w:bookmarkEnd w:id="1"/>
      <w:r w:rsidRPr="00D30551">
        <w:rPr>
          <w:rFonts w:eastAsia="Times New Roman"/>
        </w:rPr>
        <w:t>, pressions pour décourager le versement d’aides par la Millenium Challenge Corporation |</w:t>
      </w:r>
      <w:hyperlink r:id="rId8" w:anchor="nb2" w:tooltip="NDT : La Millenium Challenge Corporation est une agence américaine (...)" w:history="1">
        <w:r w:rsidRPr="00D30551">
          <w:rPr>
            <w:rFonts w:eastAsia="Times New Roman"/>
            <w:color w:val="0000FF"/>
            <w:u w:val="single"/>
          </w:rPr>
          <w:t>2</w:t>
        </w:r>
      </w:hyperlink>
      <w:r w:rsidRPr="00D30551">
        <w:rPr>
          <w:rFonts w:eastAsia="Times New Roman"/>
        </w:rPr>
        <w:t>| – aides que la Bolivie n’a jamais reçues bien qu’elle figure parmi les pays les plus pauvres de l’hémisphère - et suppression du « </w:t>
      </w:r>
      <w:r w:rsidRPr="00D30551">
        <w:rPr>
          <w:rFonts w:eastAsia="Times New Roman"/>
          <w:i/>
          <w:iCs/>
        </w:rPr>
        <w:t xml:space="preserve"> soutien matériel</w:t>
      </w:r>
      <w:r w:rsidRPr="00D30551">
        <w:rPr>
          <w:rFonts w:eastAsia="Times New Roman"/>
        </w:rPr>
        <w:t> » aux forces de sécurité boliviennes. [</w:t>
      </w:r>
      <w:hyperlink r:id="rId9" w:history="1">
        <w:r w:rsidRPr="00D30551">
          <w:rPr>
            <w:rFonts w:eastAsia="Times New Roman"/>
            <w:color w:val="000099"/>
            <w:u w:val="single"/>
          </w:rPr>
          <w:t>06LAPAZ93</w:t>
        </w:r>
      </w:hyperlink>
      <w:r w:rsidRPr="00D30551">
        <w:rPr>
          <w:rFonts w:eastAsia="Times New Roman"/>
        </w:rPr>
        <w:t>]</w:t>
      </w:r>
    </w:p>
    <w:p w:rsidR="00D30551" w:rsidRPr="00D30551" w:rsidRDefault="00D30551" w:rsidP="00D30551">
      <w:pPr>
        <w:spacing w:before="100" w:beforeAutospacing="1" w:after="100" w:afterAutospacing="1"/>
        <w:rPr>
          <w:rFonts w:eastAsia="Times New Roman"/>
        </w:rPr>
      </w:pPr>
      <w:r w:rsidRPr="00D30551">
        <w:rPr>
          <w:rFonts w:eastAsia="Times New Roman"/>
        </w:rPr>
        <w:t xml:space="preserve">Malheureusement pour le Département d’Etat, il devint très vite clair que les menaces de ce type seraient dûment ignorées. Morales avait déjà décidé de réduire drastiquement la dépendance de la Bolivie aux lignes de crédit multilatérales soumises au contrôle du Trésor américain. Quelques semaines après son intronisation, Morales annonça que la Bolivie cesserait d’être redevable au FMI et laisserait l’accord de prêt du Fonds expirer à son terme. Des années plus tard, Morales </w:t>
      </w:r>
      <w:proofErr w:type="gramStart"/>
      <w:r w:rsidRPr="00D30551">
        <w:rPr>
          <w:rFonts w:eastAsia="Times New Roman"/>
        </w:rPr>
        <w:t>conseillera</w:t>
      </w:r>
      <w:proofErr w:type="gramEnd"/>
      <w:r w:rsidRPr="00D30551">
        <w:rPr>
          <w:rFonts w:eastAsia="Times New Roman"/>
        </w:rPr>
        <w:t xml:space="preserve"> à la Grèce et aux autres pays européens endettés de suivre l’exemple de la Bolivie et de « </w:t>
      </w:r>
      <w:r w:rsidRPr="00D30551">
        <w:rPr>
          <w:rFonts w:eastAsia="Times New Roman"/>
          <w:i/>
          <w:iCs/>
        </w:rPr>
        <w:t>se libérer économiquement du diktat du FMI</w:t>
      </w:r>
      <w:r w:rsidRPr="00D30551">
        <w:rPr>
          <w:rFonts w:eastAsia="Times New Roman"/>
        </w:rPr>
        <w:t> ».</w:t>
      </w:r>
    </w:p>
    <w:p w:rsidR="00D30551" w:rsidRPr="00D30551" w:rsidRDefault="00D30551" w:rsidP="00D30551">
      <w:pPr>
        <w:spacing w:before="100" w:beforeAutospacing="1" w:after="100" w:afterAutospacing="1"/>
        <w:rPr>
          <w:rFonts w:eastAsia="Times New Roman"/>
        </w:rPr>
      </w:pPr>
      <w:r w:rsidRPr="00D30551">
        <w:rPr>
          <w:rFonts w:eastAsia="Times New Roman"/>
        </w:rPr>
        <w:t>Faute de pouvoir contraindre Morales à se soumettre à ses ordres, le Département d’Etat joua alors la carte du renforcement de l’opposition bolivienne, et la région de la Media Luna |</w:t>
      </w:r>
      <w:hyperlink r:id="rId10" w:anchor="nb3" w:tooltip="NDT : En Bolivie, la Media Lunaest la région qui comprend les départements de (...)" w:history="1">
        <w:r w:rsidRPr="00D30551">
          <w:rPr>
            <w:rFonts w:eastAsia="Times New Roman"/>
            <w:color w:val="0000FF"/>
            <w:u w:val="single"/>
          </w:rPr>
          <w:t>3</w:t>
        </w:r>
      </w:hyperlink>
      <w:r w:rsidRPr="00D30551">
        <w:rPr>
          <w:rFonts w:eastAsia="Times New Roman"/>
        </w:rPr>
        <w:t>|, que cette dernière contrôlait, commença à recevoir une aide plus importante des Etats-Unis. Un câble d’avril 2007 propose « un effort accru de l’USAID |</w:t>
      </w:r>
      <w:hyperlink r:id="rId11" w:anchor="nb4" w:tooltip="NDT : Créée en 1961 par le président JF Kennedy, l’USAID (United States Agency (...)" w:history="1">
        <w:r w:rsidRPr="00D30551">
          <w:rPr>
            <w:rFonts w:eastAsia="Times New Roman"/>
            <w:color w:val="0000FF"/>
            <w:u w:val="single"/>
          </w:rPr>
          <w:t>4</w:t>
        </w:r>
      </w:hyperlink>
      <w:r w:rsidRPr="00D30551">
        <w:rPr>
          <w:rFonts w:eastAsia="Times New Roman"/>
        </w:rPr>
        <w:t>| pour renforcer les gouvernements régionaux dans le but de faire contrepoids au gouvernement central ». [</w:t>
      </w:r>
      <w:hyperlink r:id="rId12" w:history="1">
        <w:r w:rsidRPr="00D30551">
          <w:rPr>
            <w:rFonts w:eastAsia="Times New Roman"/>
            <w:color w:val="000099"/>
            <w:u w:val="single"/>
          </w:rPr>
          <w:t>07LAPAZ1167</w:t>
        </w:r>
      </w:hyperlink>
      <w:r w:rsidRPr="00D30551">
        <w:rPr>
          <w:rFonts w:eastAsia="Times New Roman"/>
        </w:rPr>
        <w:t xml:space="preserve">]. Un rapport de 2007 de cette agence indique que son Bureau des initiatives de transition (Office of </w:t>
      </w:r>
      <w:r w:rsidRPr="00D30551">
        <w:rPr>
          <w:rFonts w:eastAsia="Times New Roman"/>
        </w:rPr>
        <w:lastRenderedPageBreak/>
        <w:t>Transition Initiatives, OTI |</w:t>
      </w:r>
      <w:hyperlink r:id="rId13" w:anchor="nb5" w:tooltip="NDT : OTI (Office for Transition Initiatives), l’Office des initiatives de (...)" w:history="1">
        <w:r w:rsidRPr="00D30551">
          <w:rPr>
            <w:rFonts w:eastAsia="Times New Roman"/>
            <w:color w:val="0000FF"/>
            <w:u w:val="single"/>
          </w:rPr>
          <w:t>5</w:t>
        </w:r>
      </w:hyperlink>
      <w:r w:rsidRPr="00D30551">
        <w:rPr>
          <w:rFonts w:eastAsia="Times New Roman"/>
        </w:rPr>
        <w:t>|) « </w:t>
      </w:r>
      <w:r w:rsidRPr="00D30551">
        <w:rPr>
          <w:rFonts w:eastAsia="Times New Roman"/>
          <w:i/>
          <w:iCs/>
        </w:rPr>
        <w:t xml:space="preserve">avait approuvé 101 subventions pour un montant total de 4 066 131 dollars en vue d’aider les dirigeants des départements à opérer plus stratégiquement </w:t>
      </w:r>
      <w:r w:rsidRPr="00D30551">
        <w:rPr>
          <w:rFonts w:eastAsia="Times New Roman"/>
        </w:rPr>
        <w:t> ». Des fonds furent également versés aux groupes indigènes qui « </w:t>
      </w:r>
      <w:r w:rsidRPr="00D30551">
        <w:rPr>
          <w:rFonts w:eastAsia="Times New Roman"/>
          <w:i/>
          <w:iCs/>
        </w:rPr>
        <w:t xml:space="preserve">s’opposaient à la vision des communautés indigènes qu’avait </w:t>
      </w:r>
      <w:proofErr w:type="spellStart"/>
      <w:r w:rsidRPr="00D30551">
        <w:rPr>
          <w:rFonts w:eastAsia="Times New Roman"/>
          <w:i/>
          <w:iCs/>
        </w:rPr>
        <w:t>Evo</w:t>
      </w:r>
      <w:proofErr w:type="spellEnd"/>
      <w:r w:rsidRPr="00D30551">
        <w:rPr>
          <w:rFonts w:eastAsia="Times New Roman"/>
          <w:i/>
          <w:iCs/>
        </w:rPr>
        <w:t xml:space="preserve"> Morales</w:t>
      </w:r>
      <w:r w:rsidRPr="00D30551">
        <w:rPr>
          <w:rFonts w:eastAsia="Times New Roman"/>
        </w:rPr>
        <w:t> ». [</w:t>
      </w:r>
      <w:hyperlink r:id="rId14" w:history="1">
        <w:r w:rsidRPr="00D30551">
          <w:rPr>
            <w:rFonts w:eastAsia="Times New Roman"/>
            <w:color w:val="000099"/>
            <w:u w:val="single"/>
          </w:rPr>
          <w:t>08LAPAZ717</w:t>
        </w:r>
      </w:hyperlink>
      <w:r w:rsidRPr="00D30551">
        <w:rPr>
          <w:rFonts w:eastAsia="Times New Roman"/>
        </w:rPr>
        <w:t>]</w:t>
      </w:r>
    </w:p>
    <w:p w:rsidR="00D30551" w:rsidRPr="00D30551" w:rsidRDefault="00D30551" w:rsidP="00D30551">
      <w:pPr>
        <w:spacing w:before="100" w:beforeAutospacing="1" w:after="100" w:afterAutospacing="1"/>
        <w:rPr>
          <w:rFonts w:eastAsia="Times New Roman"/>
        </w:rPr>
      </w:pPr>
      <w:r w:rsidRPr="00D30551">
        <w:rPr>
          <w:rFonts w:eastAsia="Times New Roman"/>
        </w:rPr>
        <w:t>Un an plus tard, les départements de la région de la Media Luna allaient entrer en rébellion ouverte contre le gouvernement Morales. Dans un premier temps, ils organisèrent des référendums sur l’autonomie, bien que ceux-ci aient été déclarés illégaux par l’autorité judiciaire nationale. Ils soutinrent ensuite des manifestations autonomistes violentes qui firent au moins 20 morts chez les partisans de la politique gouvernementale. Beaucoup eurent la conviction qu’il s’agissait d’un coup d’Etat en marche. La région ne retrouva son calme que sous la pression de tous les autres présidents d’Amérique du Sud, qui firent une déclaration commune de soutien au gouvernement constitutionnel du pays.</w:t>
      </w:r>
    </w:p>
    <w:p w:rsidR="00D30551" w:rsidRPr="00D30551" w:rsidRDefault="00D30551" w:rsidP="00D30551">
      <w:pPr>
        <w:spacing w:before="100" w:beforeAutospacing="1" w:after="100" w:afterAutospacing="1"/>
        <w:rPr>
          <w:rFonts w:eastAsia="Times New Roman"/>
        </w:rPr>
      </w:pPr>
      <w:r w:rsidRPr="00D30551">
        <w:rPr>
          <w:rFonts w:eastAsia="Times New Roman"/>
        </w:rPr>
        <w:t xml:space="preserve">Tandis que l’Amérique du Sud faisait bloc derrière </w:t>
      </w:r>
      <w:proofErr w:type="spellStart"/>
      <w:r w:rsidRPr="00D30551">
        <w:rPr>
          <w:rFonts w:eastAsia="Times New Roman"/>
        </w:rPr>
        <w:t>Evo</w:t>
      </w:r>
      <w:proofErr w:type="spellEnd"/>
      <w:r w:rsidRPr="00D30551">
        <w:rPr>
          <w:rFonts w:eastAsia="Times New Roman"/>
        </w:rPr>
        <w:t>, les Etats-Unis étaient en contact régulier avec les dirigeants du mouvement d’opposition violent, séparatiste et raciste, alors même qu’ils parlaient ouvertement de « </w:t>
      </w:r>
      <w:r w:rsidRPr="00D30551">
        <w:rPr>
          <w:rFonts w:eastAsia="Times New Roman"/>
          <w:i/>
          <w:iCs/>
        </w:rPr>
        <w:t>faire sauter les gazoducs</w:t>
      </w:r>
      <w:r w:rsidRPr="00D30551">
        <w:rPr>
          <w:rFonts w:eastAsia="Times New Roman"/>
        </w:rPr>
        <w:t> » et évoquaient la violence « </w:t>
      </w:r>
      <w:r w:rsidRPr="00D30551">
        <w:rPr>
          <w:rFonts w:eastAsia="Times New Roman"/>
          <w:i/>
          <w:iCs/>
        </w:rPr>
        <w:t>comme moyen probable de forcer le gouvernement à … prendre au sérieux l’ouverture d’un dialogue</w:t>
      </w:r>
      <w:r w:rsidRPr="00D30551">
        <w:rPr>
          <w:rFonts w:eastAsia="Times New Roman"/>
        </w:rPr>
        <w:t> ». [</w:t>
      </w:r>
      <w:hyperlink r:id="rId15" w:history="1">
        <w:r w:rsidRPr="00D30551">
          <w:rPr>
            <w:rFonts w:eastAsia="Times New Roman"/>
            <w:color w:val="000099"/>
            <w:u w:val="single"/>
          </w:rPr>
          <w:t>08LAPAZ1931</w:t>
        </w:r>
      </w:hyperlink>
      <w:r w:rsidRPr="00D30551">
        <w:rPr>
          <w:rFonts w:eastAsia="Times New Roman"/>
        </w:rPr>
        <w:t>]</w:t>
      </w:r>
    </w:p>
    <w:p w:rsidR="00D30551" w:rsidRPr="00D30551" w:rsidRDefault="00D30551" w:rsidP="00D30551">
      <w:pPr>
        <w:spacing w:before="100" w:beforeAutospacing="1" w:after="100" w:afterAutospacing="1"/>
        <w:rPr>
          <w:rFonts w:eastAsia="Times New Roman"/>
        </w:rPr>
      </w:pPr>
      <w:r w:rsidRPr="00D30551">
        <w:rPr>
          <w:rFonts w:eastAsia="Times New Roman"/>
        </w:rPr>
        <w:t xml:space="preserve">Contrairement à sa position officielle durant les événements d’août-septembre 2008, le Département d’Etat prit très au sérieux la possibilité d’un coup d’Etat contre le président </w:t>
      </w:r>
      <w:proofErr w:type="spellStart"/>
      <w:r w:rsidRPr="00D30551">
        <w:rPr>
          <w:rFonts w:eastAsia="Times New Roman"/>
        </w:rPr>
        <w:t>Evo</w:t>
      </w:r>
      <w:proofErr w:type="spellEnd"/>
      <w:r w:rsidRPr="00D30551">
        <w:rPr>
          <w:rFonts w:eastAsia="Times New Roman"/>
        </w:rPr>
        <w:t xml:space="preserve"> Morales, voire de son assassinat. Un câble révèle les plans de l’ambassade américaine à La Paz pour se préparer à un tel évènement : « Le Comité des actions d’urgence mettra au point avec la cellule de crise de l’US </w:t>
      </w:r>
      <w:proofErr w:type="spellStart"/>
      <w:r w:rsidRPr="00D30551">
        <w:rPr>
          <w:rFonts w:eastAsia="Times New Roman"/>
        </w:rPr>
        <w:t>Southern</w:t>
      </w:r>
      <w:proofErr w:type="spellEnd"/>
      <w:r w:rsidRPr="00D30551">
        <w:rPr>
          <w:rFonts w:eastAsia="Times New Roman"/>
        </w:rPr>
        <w:t xml:space="preserve"> Command |</w:t>
      </w:r>
      <w:hyperlink r:id="rId16" w:anchor="nb6" w:tooltip="NDT : Basé en Floride, le US Southern Command (Commandement Sud des (...)" w:history="1">
        <w:r w:rsidRPr="00D30551">
          <w:rPr>
            <w:rFonts w:eastAsia="Times New Roman"/>
            <w:color w:val="0000FF"/>
            <w:u w:val="single"/>
          </w:rPr>
          <w:t>6</w:t>
        </w:r>
      </w:hyperlink>
      <w:r w:rsidRPr="00D30551">
        <w:rPr>
          <w:rFonts w:eastAsia="Times New Roman"/>
        </w:rPr>
        <w:t>| un plan de réaction immédiate en cas d’urgence soudaine, c’est-à-dire de tentative de coup d’Etat ou de décès du président Morales ». [</w:t>
      </w:r>
      <w:hyperlink r:id="rId17" w:history="1">
        <w:r w:rsidRPr="00D30551">
          <w:rPr>
            <w:rFonts w:eastAsia="Times New Roman"/>
            <w:color w:val="000099"/>
            <w:u w:val="single"/>
          </w:rPr>
          <w:t>08LAPAZ2083_a</w:t>
        </w:r>
      </w:hyperlink>
      <w:r w:rsidRPr="00D30551">
        <w:rPr>
          <w:rFonts w:eastAsia="Times New Roman"/>
        </w:rPr>
        <w:t>]</w:t>
      </w:r>
    </w:p>
    <w:p w:rsidR="00D30551" w:rsidRPr="00D30551" w:rsidRDefault="00D30551" w:rsidP="00D30551">
      <w:pPr>
        <w:spacing w:before="100" w:beforeAutospacing="1" w:after="100" w:afterAutospacing="1"/>
        <w:rPr>
          <w:rFonts w:eastAsia="Times New Roman"/>
        </w:rPr>
      </w:pPr>
      <w:r w:rsidRPr="00D30551">
        <w:rPr>
          <w:rFonts w:eastAsia="Times New Roman"/>
        </w:rPr>
        <w:t>Les événements de 2008 furent cependant le plus grand défi lancé à la présidence d’</w:t>
      </w:r>
      <w:proofErr w:type="spellStart"/>
      <w:r w:rsidRPr="00D30551">
        <w:rPr>
          <w:rFonts w:eastAsia="Times New Roman"/>
        </w:rPr>
        <w:t>Evo</w:t>
      </w:r>
      <w:proofErr w:type="spellEnd"/>
      <w:r w:rsidRPr="00D30551">
        <w:rPr>
          <w:rFonts w:eastAsia="Times New Roman"/>
        </w:rPr>
        <w:t xml:space="preserve"> Morales, et le moment où il fut le plus près d’être renversé. Les préparatifs de l’ambassade américaine en vue d’un possible départ de Morales de la présidence révèlent que les Etats-Unis croyaient au moins que la menace qui pesait sur lui était bien réelle. Qu’ils ne l’aient pas dit publiquement ne fait que montrer dans quel camp ils se situaient durant le conflit, et quelle issue ils auraient probablement préférée.</w:t>
      </w:r>
    </w:p>
    <w:p w:rsidR="00E83EFF" w:rsidRPr="00D30551" w:rsidRDefault="00E83EFF" w:rsidP="00D30551">
      <w:pPr>
        <w:tabs>
          <w:tab w:val="left" w:pos="4860"/>
        </w:tabs>
      </w:pPr>
      <w:bookmarkStart w:id="2" w:name="_GoBack"/>
      <w:bookmarkEnd w:id="2"/>
    </w:p>
    <w:sectPr w:rsidR="00E83EFF" w:rsidRPr="00D30551" w:rsidSect="0032241D">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B539DC"/>
    <w:multiLevelType w:val="hybridMultilevel"/>
    <w:tmpl w:val="FD8689BE"/>
    <w:lvl w:ilvl="0" w:tplc="377E665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EFF"/>
    <w:rsid w:val="00144D67"/>
    <w:rsid w:val="0032241D"/>
    <w:rsid w:val="003779B7"/>
    <w:rsid w:val="00715E51"/>
    <w:rsid w:val="008006AA"/>
    <w:rsid w:val="00D30551"/>
    <w:rsid w:val="00E83EFF"/>
    <w:rsid w:val="00FD531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EFF"/>
    <w:pPr>
      <w:spacing w:after="0" w:line="240" w:lineRule="auto"/>
    </w:pPr>
    <w:rPr>
      <w:rFonts w:ascii="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2241D"/>
    <w:pPr>
      <w:ind w:left="720"/>
      <w:contextualSpacing/>
    </w:pPr>
  </w:style>
  <w:style w:type="paragraph" w:styleId="Textedebulles">
    <w:name w:val="Balloon Text"/>
    <w:basedOn w:val="Normal"/>
    <w:link w:val="TextedebullesCar"/>
    <w:uiPriority w:val="99"/>
    <w:semiHidden/>
    <w:unhideWhenUsed/>
    <w:rsid w:val="0032241D"/>
    <w:rPr>
      <w:rFonts w:ascii="Tahoma" w:hAnsi="Tahoma" w:cs="Tahoma"/>
      <w:sz w:val="16"/>
      <w:szCs w:val="16"/>
    </w:rPr>
  </w:style>
  <w:style w:type="character" w:customStyle="1" w:styleId="TextedebullesCar">
    <w:name w:val="Texte de bulles Car"/>
    <w:basedOn w:val="Policepardfaut"/>
    <w:link w:val="Textedebulles"/>
    <w:uiPriority w:val="99"/>
    <w:semiHidden/>
    <w:rsid w:val="0032241D"/>
    <w:rPr>
      <w:rFonts w:ascii="Tahoma" w:hAnsi="Tahoma" w:cs="Tahoma"/>
      <w:sz w:val="16"/>
      <w:szCs w:val="16"/>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EFF"/>
    <w:pPr>
      <w:spacing w:after="0" w:line="240" w:lineRule="auto"/>
    </w:pPr>
    <w:rPr>
      <w:rFonts w:ascii="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2241D"/>
    <w:pPr>
      <w:ind w:left="720"/>
      <w:contextualSpacing/>
    </w:pPr>
  </w:style>
  <w:style w:type="paragraph" w:styleId="Textedebulles">
    <w:name w:val="Balloon Text"/>
    <w:basedOn w:val="Normal"/>
    <w:link w:val="TextedebullesCar"/>
    <w:uiPriority w:val="99"/>
    <w:semiHidden/>
    <w:unhideWhenUsed/>
    <w:rsid w:val="0032241D"/>
    <w:rPr>
      <w:rFonts w:ascii="Tahoma" w:hAnsi="Tahoma" w:cs="Tahoma"/>
      <w:sz w:val="16"/>
      <w:szCs w:val="16"/>
    </w:rPr>
  </w:style>
  <w:style w:type="character" w:customStyle="1" w:styleId="TextedebullesCar">
    <w:name w:val="Texte de bulles Car"/>
    <w:basedOn w:val="Policepardfaut"/>
    <w:link w:val="Textedebulles"/>
    <w:uiPriority w:val="99"/>
    <w:semiHidden/>
    <w:rsid w:val="0032241D"/>
    <w:rPr>
      <w:rFonts w:ascii="Tahoma" w:hAnsi="Tahoma" w:cs="Tahoma"/>
      <w:sz w:val="16"/>
      <w:szCs w:val="1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489172">
      <w:bodyDiv w:val="1"/>
      <w:marLeft w:val="0"/>
      <w:marRight w:val="0"/>
      <w:marTop w:val="0"/>
      <w:marBottom w:val="0"/>
      <w:divBdr>
        <w:top w:val="none" w:sz="0" w:space="0" w:color="auto"/>
        <w:left w:val="none" w:sz="0" w:space="0" w:color="auto"/>
        <w:bottom w:val="none" w:sz="0" w:space="0" w:color="auto"/>
        <w:right w:val="none" w:sz="0" w:space="0" w:color="auto"/>
      </w:divBdr>
    </w:div>
    <w:div w:id="1835760531">
      <w:bodyDiv w:val="1"/>
      <w:marLeft w:val="0"/>
      <w:marRight w:val="0"/>
      <w:marTop w:val="0"/>
      <w:marBottom w:val="0"/>
      <w:divBdr>
        <w:top w:val="none" w:sz="0" w:space="0" w:color="auto"/>
        <w:left w:val="none" w:sz="0" w:space="0" w:color="auto"/>
        <w:bottom w:val="none" w:sz="0" w:space="0" w:color="auto"/>
        <w:right w:val="none" w:sz="0" w:space="0" w:color="auto"/>
      </w:divBdr>
      <w:divsChild>
        <w:div w:id="107436575">
          <w:marLeft w:val="0"/>
          <w:marRight w:val="0"/>
          <w:marTop w:val="0"/>
          <w:marBottom w:val="0"/>
          <w:divBdr>
            <w:top w:val="none" w:sz="0" w:space="0" w:color="auto"/>
            <w:left w:val="none" w:sz="0" w:space="0" w:color="auto"/>
            <w:bottom w:val="none" w:sz="0" w:space="0" w:color="auto"/>
            <w:right w:val="none" w:sz="0" w:space="0" w:color="auto"/>
          </w:divBdr>
          <w:divsChild>
            <w:div w:id="1147160334">
              <w:marLeft w:val="0"/>
              <w:marRight w:val="0"/>
              <w:marTop w:val="0"/>
              <w:marBottom w:val="0"/>
              <w:divBdr>
                <w:top w:val="none" w:sz="0" w:space="0" w:color="auto"/>
                <w:left w:val="none" w:sz="0" w:space="0" w:color="auto"/>
                <w:bottom w:val="none" w:sz="0" w:space="0" w:color="auto"/>
                <w:right w:val="none" w:sz="0" w:space="0" w:color="auto"/>
              </w:divBdr>
              <w:divsChild>
                <w:div w:id="835612298">
                  <w:marLeft w:val="0"/>
                  <w:marRight w:val="0"/>
                  <w:marTop w:val="0"/>
                  <w:marBottom w:val="0"/>
                  <w:divBdr>
                    <w:top w:val="none" w:sz="0" w:space="0" w:color="auto"/>
                    <w:left w:val="none" w:sz="0" w:space="0" w:color="auto"/>
                    <w:bottom w:val="none" w:sz="0" w:space="0" w:color="auto"/>
                    <w:right w:val="none" w:sz="0" w:space="0" w:color="auto"/>
                  </w:divBdr>
                  <w:divsChild>
                    <w:div w:id="228270988">
                      <w:marLeft w:val="0"/>
                      <w:marRight w:val="0"/>
                      <w:marTop w:val="0"/>
                      <w:marBottom w:val="0"/>
                      <w:divBdr>
                        <w:top w:val="none" w:sz="0" w:space="0" w:color="auto"/>
                        <w:left w:val="none" w:sz="0" w:space="0" w:color="auto"/>
                        <w:bottom w:val="none" w:sz="0" w:space="0" w:color="auto"/>
                        <w:right w:val="none" w:sz="0" w:space="0" w:color="auto"/>
                      </w:divBdr>
                      <w:divsChild>
                        <w:div w:id="99188165">
                          <w:marLeft w:val="0"/>
                          <w:marRight w:val="0"/>
                          <w:marTop w:val="0"/>
                          <w:marBottom w:val="0"/>
                          <w:divBdr>
                            <w:top w:val="none" w:sz="0" w:space="0" w:color="auto"/>
                            <w:left w:val="none" w:sz="0" w:space="0" w:color="auto"/>
                            <w:bottom w:val="none" w:sz="0" w:space="0" w:color="auto"/>
                            <w:right w:val="none" w:sz="0" w:space="0" w:color="auto"/>
                          </w:divBdr>
                          <w:divsChild>
                            <w:div w:id="17172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adtm.org/Comment-Washington-tente-de" TargetMode="External"/><Relationship Id="rId13" Type="http://schemas.openxmlformats.org/officeDocument/2006/relationships/hyperlink" Target="http://cadtm.org/Comment-Washington-tente-de"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org.salsalabs.com/dia/track.jsp?v=2&amp;c=ybFIpKRbZQBgtk4kX%2BGn4u1iVCpu3VY6" TargetMode="External"/><Relationship Id="rId12" Type="http://schemas.openxmlformats.org/officeDocument/2006/relationships/hyperlink" Target="http://org.salsalabs.com/dia/track.jsp?v=2&amp;c=2Ne%2BYBypnZnSDQOq4lM9Ju1iVCpu3VY6" TargetMode="External"/><Relationship Id="rId17" Type="http://schemas.openxmlformats.org/officeDocument/2006/relationships/hyperlink" Target="http://org.salsalabs.com/dia/track.jsp?v=2&amp;c=niexL6JHIWSp5zVRqzYVqO1iVCpu3VY6" TargetMode="External"/><Relationship Id="rId2" Type="http://schemas.openxmlformats.org/officeDocument/2006/relationships/styles" Target="styles.xml"/><Relationship Id="rId16" Type="http://schemas.openxmlformats.org/officeDocument/2006/relationships/hyperlink" Target="http://cadtm.org/Comment-Washington-tente-de" TargetMode="Externa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hyperlink" Target="http://cadtm.org/Comment-Washington-tente-de" TargetMode="External"/><Relationship Id="rId5" Type="http://schemas.openxmlformats.org/officeDocument/2006/relationships/webSettings" Target="webSettings.xml"/><Relationship Id="rId15" Type="http://schemas.openxmlformats.org/officeDocument/2006/relationships/hyperlink" Target="http://org.salsalabs.com/dia/track.jsp?v=2&amp;c=83zVDRAtROC5DM%2BsDvbWFO1iVCpu3VY6" TargetMode="External"/><Relationship Id="rId10" Type="http://schemas.openxmlformats.org/officeDocument/2006/relationships/hyperlink" Target="http://cadtm.org/Comment-Washington-tente-d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org.salsalabs.com/dia/track.jsp?v=2&amp;c=HxCtPy8xW1cp306lcncghO1iVCpu3VY6" TargetMode="External"/><Relationship Id="rId14" Type="http://schemas.openxmlformats.org/officeDocument/2006/relationships/hyperlink" Target="http://org.salsalabs.com/dia/track.jsp?v=2&amp;c=KIwv3EhY4QgeJW61TEk3u7gqG97KkL%2FU"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165</TotalTime>
  <Pages>4</Pages>
  <Words>1730</Words>
  <Characters>9518</Characters>
  <Application>Microsoft Office Word</Application>
  <DocSecurity>0</DocSecurity>
  <Lines>79</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Utilisateur</cp:lastModifiedBy>
  <cp:revision>5</cp:revision>
  <dcterms:created xsi:type="dcterms:W3CDTF">2015-10-20T11:44:00Z</dcterms:created>
  <dcterms:modified xsi:type="dcterms:W3CDTF">2015-11-05T10:29:00Z</dcterms:modified>
</cp:coreProperties>
</file>